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38A" w:rsidRDefault="00C7438A" w:rsidP="00C7438A">
      <w:pPr>
        <w:pStyle w:val="Akti"/>
      </w:pPr>
      <w:bookmarkStart w:id="0" w:name="_GoBack"/>
      <w:bookmarkEnd w:id="0"/>
      <w:r>
        <w:t xml:space="preserve">Vendim </w:t>
      </w:r>
    </w:p>
    <w:p w:rsidR="00C7438A" w:rsidRDefault="00C7438A" w:rsidP="00C7438A">
      <w:pPr>
        <w:pStyle w:val="NumriData"/>
      </w:pPr>
      <w:r>
        <w:t>Nr.328, datë 21.5.2004</w:t>
      </w:r>
    </w:p>
    <w:p w:rsidR="00C7438A" w:rsidRDefault="00C7438A" w:rsidP="00C7438A">
      <w:pPr>
        <w:pStyle w:val="Paragrafi"/>
      </w:pPr>
    </w:p>
    <w:p w:rsidR="00C7438A" w:rsidRDefault="00C7438A" w:rsidP="00C7438A">
      <w:pPr>
        <w:pStyle w:val="Titulli"/>
      </w:pPr>
      <w:r>
        <w:t>Për miratimin e listës së inventarit të pronave të paluajtshme shtetërore në komunën tërbuf</w:t>
      </w:r>
    </w:p>
    <w:p w:rsidR="00C7438A" w:rsidRDefault="00C7438A" w:rsidP="00C7438A">
      <w:pPr>
        <w:pStyle w:val="Paragrafi"/>
        <w:ind w:firstLine="0"/>
      </w:pPr>
    </w:p>
    <w:p w:rsidR="00C7438A" w:rsidRDefault="00C7438A" w:rsidP="00C7438A">
      <w:pPr>
        <w:pStyle w:val="BazLigjPropozues"/>
      </w:pPr>
      <w:r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C7438A" w:rsidRDefault="00C7438A" w:rsidP="00C7438A">
      <w:pPr>
        <w:pStyle w:val="Paragrafi"/>
      </w:pPr>
    </w:p>
    <w:p w:rsidR="00C7438A" w:rsidRDefault="00C7438A" w:rsidP="00C7438A">
      <w:pPr>
        <w:pStyle w:val="VENDOSI"/>
      </w:pPr>
      <w:r>
        <w:t>Vendosi:</w:t>
      </w:r>
    </w:p>
    <w:p w:rsidR="00C7438A" w:rsidRDefault="00C7438A" w:rsidP="00C7438A">
      <w:pPr>
        <w:pStyle w:val="Paragrafi"/>
      </w:pPr>
    </w:p>
    <w:p w:rsidR="00C7438A" w:rsidRDefault="00C7438A" w:rsidP="00C7438A">
      <w:pPr>
        <w:pStyle w:val="Paragrafi"/>
      </w:pPr>
      <w:r>
        <w:t>1. Miratimin e listës së inventarit të pronave të paluajtshme shtetërore, që janë në juridiksionin territorial dhe administrativ të komunës Tërbuf, sipas propozimit të paraqitur nga këshilli i kësaj komune.</w:t>
      </w:r>
    </w:p>
    <w:p w:rsidR="00C7438A" w:rsidRDefault="00C7438A" w:rsidP="00C7438A">
      <w:pPr>
        <w:pStyle w:val="Paragrafi"/>
      </w:pPr>
      <w:r>
        <w:t>Lista me 133 (njëqind e tridhjetë e tre) fletë, që i bashkëlidhet këtij vendimi, përfundon me numrin rendor 926 (nëntëqind e njëzet e gjashtë).</w:t>
      </w:r>
    </w:p>
    <w:p w:rsidR="00C7438A" w:rsidRDefault="00C7438A" w:rsidP="00C7438A">
      <w:pPr>
        <w:pStyle w:val="Paragrafi"/>
      </w:pPr>
      <w:r>
        <w:t>2. Ndryshimet, që i bëhen listës gjatë periudhës së afishimit, të pasqyrohen në listën përfundimtare të pronave, e cila miratohet nga Këshilli i Ministrave.</w:t>
      </w:r>
    </w:p>
    <w:p w:rsidR="00C7438A" w:rsidRDefault="00C7438A" w:rsidP="00C7438A">
      <w:pPr>
        <w:pStyle w:val="Paragrafi"/>
      </w:pPr>
      <w:r>
        <w:t>Ky vendim hyn në fuqi pas botimit në Fletoren Zyrtare.</w:t>
      </w:r>
    </w:p>
    <w:p w:rsidR="00C7438A" w:rsidRDefault="00C7438A" w:rsidP="00C7438A">
      <w:pPr>
        <w:pStyle w:val="Paragrafi"/>
      </w:pPr>
    </w:p>
    <w:p w:rsidR="00C7438A" w:rsidRDefault="00C7438A" w:rsidP="00C7438A">
      <w:pPr>
        <w:pStyle w:val="Autoriteti"/>
      </w:pPr>
      <w:r>
        <w:t xml:space="preserve">Kryeministri </w:t>
      </w:r>
    </w:p>
    <w:p w:rsidR="00C7438A" w:rsidRDefault="00C7438A" w:rsidP="00C7438A">
      <w:pPr>
        <w:pStyle w:val="AutoritetiEmer"/>
      </w:pPr>
      <w:r>
        <w:t xml:space="preserve">Fatos Nano </w:t>
      </w:r>
    </w:p>
    <w:p w:rsidR="00C7438A" w:rsidRDefault="00C7438A" w:rsidP="00C7438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438A"/>
    <w:rsid w:val="00C7710C"/>
    <w:rsid w:val="00CB10C8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2DA064-7734-4A7D-A133-AD9727B1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7438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7438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