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92F" w:rsidRPr="006E0056" w:rsidRDefault="001A392F" w:rsidP="001A392F">
      <w:pPr>
        <w:pStyle w:val="Akti"/>
        <w:keepNext w:val="0"/>
      </w:pPr>
      <w:bookmarkStart w:id="0" w:name="_GoBack"/>
      <w:bookmarkEnd w:id="0"/>
      <w:r w:rsidRPr="006E0056">
        <w:t xml:space="preserve">Vendim </w:t>
      </w:r>
    </w:p>
    <w:p w:rsidR="001A392F" w:rsidRPr="006E0056" w:rsidRDefault="001A392F" w:rsidP="001A392F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Nr.370, datë 11.6.2004</w:t>
      </w: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Titulli"/>
        <w:keepNext w:val="0"/>
      </w:pPr>
      <w:r w:rsidRPr="006E0056">
        <w:t>Për kalimin në përgjegjësi administrimi të komisionit qendror të zgjedhjeve të një depoje, në për</w:t>
      </w:r>
      <w:r>
        <w:t>dorim të drejtorisë së përgjith</w:t>
      </w:r>
      <w:r w:rsidRPr="006E0056">
        <w:t>shme të rezervave shtetërore në lundër</w:t>
      </w: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BazLigjPropozues"/>
        <w:keepNext w:val="0"/>
      </w:pPr>
      <w:r w:rsidRPr="006E0056">
        <w:t xml:space="preserve">Në mbështetje të nenit 100 </w:t>
      </w:r>
      <w:r>
        <w:t>të Kushtetutës dhe të nenit 13 të ligjit nr.8743, datë 22.2.2001</w:t>
      </w:r>
      <w:r w:rsidRPr="006E0056">
        <w:t xml:space="preserve"> “Për pronat e paluajtshme të shtetit”, me pro</w:t>
      </w:r>
      <w:r>
        <w:t>pozimin e Ministrit të Pushteti</w:t>
      </w:r>
      <w:r w:rsidRPr="006E0056">
        <w:t>t Vendor dhe të Decentralizimit, Këshilli i Ministrave</w:t>
      </w: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VENDOSI"/>
        <w:keepNext w:val="0"/>
      </w:pPr>
      <w:r w:rsidRPr="006E0056">
        <w:t>Vendosi:</w:t>
      </w: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Paragrafi"/>
        <w:rPr>
          <w:szCs w:val="22"/>
        </w:rPr>
      </w:pPr>
      <w:r w:rsidRPr="006E0056">
        <w:rPr>
          <w:szCs w:val="22"/>
        </w:rPr>
        <w:t>1. Kalimin në përgjegjësi administrimi të Komisionit Qendror të Zgjedhjeve të një depoje, në për</w:t>
      </w:r>
      <w:r>
        <w:rPr>
          <w:szCs w:val="22"/>
        </w:rPr>
        <w:t>dorim të Drejtorisë së Përgjithshme të R</w:t>
      </w:r>
      <w:r w:rsidRPr="006E0056">
        <w:rPr>
          <w:szCs w:val="22"/>
        </w:rPr>
        <w:t>ezervave Shtetërore në Lundër, sipas planimetrisë dhe genplanit, që i bashkëlidhet këtij vendimi.</w:t>
      </w:r>
    </w:p>
    <w:p w:rsidR="001A392F" w:rsidRPr="006E0056" w:rsidRDefault="001A392F" w:rsidP="001A392F">
      <w:pPr>
        <w:pStyle w:val="Paragrafi"/>
        <w:rPr>
          <w:szCs w:val="22"/>
        </w:rPr>
      </w:pPr>
      <w:r>
        <w:rPr>
          <w:szCs w:val="22"/>
        </w:rPr>
        <w:t>2. Ngarkohen Ministri i Pushtetit Vendor dhe i</w:t>
      </w:r>
      <w:r w:rsidRPr="006E0056">
        <w:rPr>
          <w:szCs w:val="22"/>
        </w:rPr>
        <w:t xml:space="preserve"> Decentralizimit, kryetari i Komisionit Qendror të Zgjedhjeve dhe kryeregjistruesi i Zyrës Qendrore të Regjistrimit të  Pasurive të Paluajtshme për zbatimin e këtij vendimi. </w:t>
      </w:r>
    </w:p>
    <w:p w:rsidR="001A392F" w:rsidRPr="006E0056" w:rsidRDefault="001A392F" w:rsidP="001A392F">
      <w:pPr>
        <w:pStyle w:val="Paragrafi"/>
        <w:rPr>
          <w:szCs w:val="22"/>
        </w:rPr>
      </w:pPr>
      <w:r w:rsidRPr="006E0056">
        <w:rPr>
          <w:szCs w:val="22"/>
        </w:rPr>
        <w:t>Ky vendim hyn në fuqi pas botimit në Fletoren Zyrtare.</w:t>
      </w: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Autoriteti"/>
        <w:keepNext w:val="0"/>
      </w:pPr>
      <w:r w:rsidRPr="006E0056">
        <w:t xml:space="preserve">Kryeministri </w:t>
      </w:r>
    </w:p>
    <w:p w:rsidR="001A392F" w:rsidRPr="006E0056" w:rsidRDefault="001A392F" w:rsidP="001A392F">
      <w:pPr>
        <w:pStyle w:val="AutoritetiEmer"/>
      </w:pPr>
      <w:r w:rsidRPr="006E0056">
        <w:t>Fatos Nano</w:t>
      </w:r>
    </w:p>
    <w:p w:rsidR="001A392F" w:rsidRDefault="001A392F" w:rsidP="001A392F">
      <w:pPr>
        <w:pStyle w:val="Paragrafi"/>
        <w:rPr>
          <w:szCs w:val="22"/>
        </w:rPr>
      </w:pPr>
    </w:p>
    <w:p w:rsidR="001A392F" w:rsidRPr="006E0056" w:rsidRDefault="00CA2F52" w:rsidP="001A392F">
      <w:pPr>
        <w:pStyle w:val="Figure"/>
      </w:pPr>
      <w:r w:rsidRPr="00FF7D45">
        <w:rPr>
          <w:noProof/>
          <w:lang w:val="en-GB" w:eastAsia="en-GB"/>
        </w:rPr>
        <w:lastRenderedPageBreak/>
        <w:drawing>
          <wp:inline distT="0" distB="0" distL="0" distR="0">
            <wp:extent cx="5759450" cy="8098790"/>
            <wp:effectExtent l="0" t="0" r="0" b="0"/>
            <wp:docPr id="1" name="Picture 1" descr="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9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92F" w:rsidRDefault="001A392F" w:rsidP="001A392F">
      <w:pPr>
        <w:pStyle w:val="Paragrafi"/>
        <w:rPr>
          <w:szCs w:val="22"/>
        </w:rPr>
      </w:pPr>
    </w:p>
    <w:p w:rsidR="001A392F" w:rsidRDefault="001A392F" w:rsidP="001A392F">
      <w:pPr>
        <w:pStyle w:val="Paragrafi"/>
        <w:rPr>
          <w:szCs w:val="22"/>
        </w:rPr>
      </w:pPr>
    </w:p>
    <w:p w:rsidR="001A392F" w:rsidRPr="006E0056" w:rsidRDefault="001A392F" w:rsidP="001A392F">
      <w:pPr>
        <w:pStyle w:val="Paragrafi"/>
        <w:rPr>
          <w:szCs w:val="22"/>
        </w:rPr>
      </w:pPr>
    </w:p>
    <w:p w:rsidR="001A392F" w:rsidRDefault="00CA2F52" w:rsidP="001A392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23890" cy="5070475"/>
            <wp:effectExtent l="0" t="0" r="0" b="0"/>
            <wp:docPr id="2" name="Picture 2" descr="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507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92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392F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CA2F52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CA1E04-F9ED-46ED-A5F7-80043C5D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