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B9C" w:rsidRPr="0076181C" w:rsidRDefault="002E3B9C" w:rsidP="002E3B9C">
      <w:pPr>
        <w:pStyle w:val="Akti"/>
        <w:keepNext w:val="0"/>
      </w:pPr>
      <w:bookmarkStart w:id="0" w:name="_GoBack"/>
      <w:bookmarkEnd w:id="0"/>
      <w:r w:rsidRPr="0076181C">
        <w:t>Vendim</w:t>
      </w:r>
    </w:p>
    <w:p w:rsidR="002E3B9C" w:rsidRPr="0076181C" w:rsidRDefault="002E3B9C" w:rsidP="002E3B9C">
      <w:pPr>
        <w:pStyle w:val="NumriData"/>
        <w:keepNext w:val="0"/>
        <w:rPr>
          <w:szCs w:val="22"/>
        </w:rPr>
      </w:pPr>
      <w:r w:rsidRPr="0076181C">
        <w:rPr>
          <w:szCs w:val="22"/>
        </w:rPr>
        <w:t>Nr.426, datë 2.7.2004</w:t>
      </w:r>
    </w:p>
    <w:p w:rsidR="002E3B9C" w:rsidRPr="0076181C" w:rsidRDefault="002E3B9C" w:rsidP="002E3B9C">
      <w:pPr>
        <w:pStyle w:val="Paragrafi"/>
        <w:rPr>
          <w:szCs w:val="22"/>
        </w:rPr>
      </w:pPr>
    </w:p>
    <w:p w:rsidR="002E3B9C" w:rsidRPr="0076181C" w:rsidRDefault="002E3B9C" w:rsidP="002E3B9C">
      <w:pPr>
        <w:pStyle w:val="Titulli"/>
        <w:keepNext w:val="0"/>
      </w:pPr>
      <w:r w:rsidRPr="0076181C">
        <w:t>Për kriteret e vlerësimit të ofertave për privatizimin e “Armo” shA Fier</w:t>
      </w:r>
    </w:p>
    <w:p w:rsidR="002E3B9C" w:rsidRPr="0076181C" w:rsidRDefault="002E3B9C" w:rsidP="002E3B9C">
      <w:pPr>
        <w:pStyle w:val="Paragrafi"/>
        <w:rPr>
          <w:szCs w:val="22"/>
        </w:rPr>
      </w:pPr>
    </w:p>
    <w:p w:rsidR="002E3B9C" w:rsidRPr="0076181C" w:rsidRDefault="002E3B9C" w:rsidP="002E3B9C">
      <w:pPr>
        <w:pStyle w:val="BazLigjPropozues"/>
        <w:keepNext w:val="0"/>
      </w:pPr>
      <w:r w:rsidRPr="0076181C">
        <w:t xml:space="preserve">Në mbështetje të nenit 100 të Kushtetutës dhe të neneve 7 e 9 të ligjit nr.8306, datë 14.3.1998 “Për strategjinë e privatizimit të sektorëve me rëndësi të veçantë” dhe të nenit 8 të ligjit nr.9117, datë 24.7.2003 “Për përcaktimin e formës dhe të strukturës së formulës së privatizimit të “Armo” sh.a., Fier, me propozimin e Ministrit të Ekonomisë dhe të Ministrit të Industrisë dhe të Energjetikës, Këshilli i Ministrave </w:t>
      </w:r>
    </w:p>
    <w:p w:rsidR="002E3B9C" w:rsidRPr="0076181C" w:rsidRDefault="002E3B9C" w:rsidP="002E3B9C">
      <w:pPr>
        <w:pStyle w:val="Paragrafi"/>
        <w:rPr>
          <w:szCs w:val="22"/>
        </w:rPr>
      </w:pPr>
    </w:p>
    <w:p w:rsidR="002E3B9C" w:rsidRPr="0076181C" w:rsidRDefault="002E3B9C" w:rsidP="002E3B9C">
      <w:pPr>
        <w:pStyle w:val="VENDOSI"/>
        <w:keepNext w:val="0"/>
      </w:pPr>
      <w:r w:rsidRPr="0076181C">
        <w:t>Vendosi:</w:t>
      </w:r>
    </w:p>
    <w:p w:rsidR="002E3B9C" w:rsidRPr="0076181C" w:rsidRDefault="002E3B9C" w:rsidP="002E3B9C">
      <w:pPr>
        <w:pStyle w:val="Paragrafi"/>
        <w:rPr>
          <w:szCs w:val="22"/>
        </w:rPr>
      </w:pPr>
    </w:p>
    <w:p w:rsidR="002E3B9C" w:rsidRPr="0076181C" w:rsidRDefault="002E3B9C" w:rsidP="002E3B9C">
      <w:pPr>
        <w:pStyle w:val="Paragrafi"/>
        <w:rPr>
          <w:szCs w:val="22"/>
        </w:rPr>
      </w:pPr>
      <w:r w:rsidRPr="0076181C">
        <w:rPr>
          <w:szCs w:val="22"/>
        </w:rPr>
        <w:t>1. Vlerësimi i ofertave të detyrueshme, që do të paraqiten nga investitorët strategjikë, të cilëve u ofrohet paketa e aksioneve të kapitalit të “Armo” sh.a., Fier dhe përcaktimi i pikëve të vlerësimit të ofertave të kryhen sipas kritereve të përcaktuara në tabelën, që i bashkëlidhet këtij vendimi.</w:t>
      </w:r>
    </w:p>
    <w:p w:rsidR="002E3B9C" w:rsidRPr="0076181C" w:rsidRDefault="002E3B9C" w:rsidP="002E3B9C">
      <w:pPr>
        <w:pStyle w:val="Paragrafi"/>
        <w:rPr>
          <w:szCs w:val="22"/>
        </w:rPr>
      </w:pPr>
      <w:r w:rsidRPr="0076181C">
        <w:rPr>
          <w:szCs w:val="22"/>
        </w:rPr>
        <w:t>2. Ngarkohen Ministri i Ekonomisë dhe Ministri i Industrisë dhe i Energjetikës për zbatimin e këtij vendimi.</w:t>
      </w:r>
    </w:p>
    <w:p w:rsidR="002E3B9C" w:rsidRPr="0076181C" w:rsidRDefault="002E3B9C" w:rsidP="002E3B9C">
      <w:pPr>
        <w:pStyle w:val="Paragrafi"/>
        <w:rPr>
          <w:szCs w:val="22"/>
        </w:rPr>
      </w:pPr>
      <w:r w:rsidRPr="0076181C">
        <w:rPr>
          <w:szCs w:val="22"/>
        </w:rPr>
        <w:t>Ky vendim hyn në fuqi pas botimit në Fletoren Zyrtare.</w:t>
      </w:r>
    </w:p>
    <w:p w:rsidR="002E3B9C" w:rsidRPr="0076181C" w:rsidRDefault="002E3B9C" w:rsidP="002E3B9C">
      <w:pPr>
        <w:pStyle w:val="Autoriteti"/>
        <w:keepNext w:val="0"/>
      </w:pPr>
      <w:r w:rsidRPr="0076181C">
        <w:t xml:space="preserve">Kryeministri </w:t>
      </w:r>
    </w:p>
    <w:p w:rsidR="002E3B9C" w:rsidRPr="0076181C" w:rsidRDefault="002E3B9C" w:rsidP="002E3B9C">
      <w:pPr>
        <w:pStyle w:val="AutoritetiEmer"/>
      </w:pPr>
      <w:r w:rsidRPr="0076181C">
        <w:t>Fatos Nano</w:t>
      </w:r>
    </w:p>
    <w:p w:rsidR="002E3B9C" w:rsidRPr="0076181C" w:rsidRDefault="002E3B9C" w:rsidP="002E3B9C">
      <w:pPr>
        <w:pStyle w:val="Paragrafi"/>
        <w:rPr>
          <w:szCs w:val="22"/>
        </w:rPr>
      </w:pPr>
    </w:p>
    <w:p w:rsidR="002E3B9C" w:rsidRPr="0076181C" w:rsidRDefault="002E3B9C" w:rsidP="002E3B9C">
      <w:pPr>
        <w:pStyle w:val="Paragrafi"/>
        <w:rPr>
          <w:szCs w:val="22"/>
        </w:rPr>
      </w:pPr>
    </w:p>
    <w:p w:rsidR="002E3B9C" w:rsidRPr="0076181C" w:rsidRDefault="002E3B9C" w:rsidP="002E3B9C">
      <w:pPr>
        <w:pStyle w:val="TitulliTitull"/>
        <w:keepNext w:val="0"/>
      </w:pPr>
      <w:r w:rsidRPr="0076181C">
        <w:t xml:space="preserve">Tabela e kritereve të vlerësimit të ofertave për privatizimin e </w:t>
      </w:r>
    </w:p>
    <w:p w:rsidR="002E3B9C" w:rsidRPr="0076181C" w:rsidRDefault="002E3B9C" w:rsidP="002E3B9C">
      <w:pPr>
        <w:pStyle w:val="TitulliTitull"/>
        <w:keepNext w:val="0"/>
      </w:pPr>
      <w:r w:rsidRPr="0076181C">
        <w:t>“Armo” sha</w:t>
      </w:r>
    </w:p>
    <w:p w:rsidR="002E3B9C" w:rsidRPr="0076181C" w:rsidRDefault="002E3B9C" w:rsidP="002E3B9C">
      <w:pPr>
        <w:pStyle w:val="Paragrafi"/>
        <w:rPr>
          <w:szCs w:val="22"/>
        </w:rPr>
      </w:pPr>
    </w:p>
    <w:tbl>
      <w:tblPr>
        <w:tblStyle w:val="TableGrid"/>
        <w:tblW w:w="0" w:type="auto"/>
        <w:tblInd w:w="828" w:type="dxa"/>
        <w:tblLook w:val="01E0" w:firstRow="1" w:lastRow="1" w:firstColumn="1" w:lastColumn="1" w:noHBand="0" w:noVBand="0"/>
      </w:tblPr>
      <w:tblGrid>
        <w:gridCol w:w="5940"/>
        <w:gridCol w:w="720"/>
        <w:gridCol w:w="900"/>
      </w:tblGrid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rPr>
                <w:sz w:val="20"/>
              </w:rPr>
            </w:pP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center"/>
              <w:rPr>
                <w:sz w:val="20"/>
              </w:rPr>
            </w:pPr>
            <w:r w:rsidRPr="00AD2168">
              <w:rPr>
                <w:sz w:val="20"/>
              </w:rPr>
              <w:t>Totali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center"/>
              <w:rPr>
                <w:sz w:val="20"/>
              </w:rPr>
            </w:pPr>
            <w:r w:rsidRPr="00AD2168">
              <w:rPr>
                <w:sz w:val="20"/>
              </w:rPr>
              <w:t>Pjesë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b/>
                <w:sz w:val="20"/>
              </w:rPr>
            </w:pPr>
            <w:r w:rsidRPr="00AD2168">
              <w:rPr>
                <w:b/>
                <w:sz w:val="20"/>
              </w:rPr>
              <w:t>1. Kredencialet e blerësit &amp; Aftësia teknike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1.1 Interesi strategjik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50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1.2 Aftësitë teknike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50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b/>
                <w:sz w:val="20"/>
              </w:rPr>
            </w:pPr>
            <w:r w:rsidRPr="00AD2168">
              <w:rPr>
                <w:b/>
                <w:sz w:val="20"/>
              </w:rPr>
              <w:t>2. Plani i biznesit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100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2.1Rritja e kapacitetit përpunues deri në kapacitetin optimal të projektit, mbi 2500 ton/ditë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20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2.2 Ndërhyrjet në nyjet më të ngushta të KPTHN, Ballsh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20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 xml:space="preserve">2.2.1 Prodhimi i benzinave me nr.Oktati të lartë mbi 95 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10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 xml:space="preserve">2.2.2 Prodhimi i squfurit dhe ambalazhimi i tij sipas standardit europian 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5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 xml:space="preserve">2.2.3 Automatizimi i procesit për të përmirësuar cilësinë e produkteve dhe uljen e normativave të lëndëve ndihmëse 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5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2.3 Ndërhyrjet në teknologji për përmirësimin e kushteve të mjedisit me KPTH Ballsh, UP Fier, si dhe në përpunimin e mbetjeve teknologjike në përputhje me standardet hidrosanitare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10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2.4 Rehabilitimi i ujësjellësit Poçem-UPTHN, Ballsh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10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 xml:space="preserve">2.5. Rehabilitimi i TEC-it, Ballsh për prodhimin e energjisë elektrike 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20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2.6 Aspektet ekonomike financiare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10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2.6.1 Huatë e marra për zhvillim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5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2.6.2 Masat për rastet e vështirësive që mund të lindin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5</w:t>
            </w: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 xml:space="preserve">2.7. Të tjera 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10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 xml:space="preserve">2.7.1 Plani i investimit 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b/>
                <w:sz w:val="20"/>
              </w:rPr>
            </w:pPr>
            <w:r w:rsidRPr="00AD2168">
              <w:rPr>
                <w:b/>
                <w:sz w:val="20"/>
              </w:rPr>
              <w:t>3. Oferta financiare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800</w:t>
            </w: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3.1 Vlerësimi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</w:tr>
      <w:tr w:rsidR="002E3B9C" w:rsidRPr="00AD2168">
        <w:tc>
          <w:tcPr>
            <w:tcW w:w="5940" w:type="dxa"/>
          </w:tcPr>
          <w:p w:rsidR="002E3B9C" w:rsidRPr="00AD2168" w:rsidRDefault="002E3B9C" w:rsidP="002E3B9C">
            <w:pPr>
              <w:pStyle w:val="Tabele"/>
              <w:jc w:val="both"/>
              <w:rPr>
                <w:sz w:val="20"/>
              </w:rPr>
            </w:pPr>
            <w:r w:rsidRPr="00AD2168">
              <w:rPr>
                <w:sz w:val="20"/>
              </w:rPr>
              <w:t>3.1.1 Çmimi</w:t>
            </w:r>
          </w:p>
        </w:tc>
        <w:tc>
          <w:tcPr>
            <w:tcW w:w="72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</w:p>
        </w:tc>
        <w:tc>
          <w:tcPr>
            <w:tcW w:w="900" w:type="dxa"/>
          </w:tcPr>
          <w:p w:rsidR="002E3B9C" w:rsidRPr="00AD2168" w:rsidRDefault="002E3B9C" w:rsidP="002E3B9C">
            <w:pPr>
              <w:pStyle w:val="Tabele"/>
              <w:jc w:val="right"/>
              <w:rPr>
                <w:sz w:val="20"/>
              </w:rPr>
            </w:pPr>
            <w:r w:rsidRPr="00AD2168">
              <w:rPr>
                <w:sz w:val="20"/>
              </w:rPr>
              <w:t>800</w:t>
            </w:r>
          </w:p>
        </w:tc>
      </w:tr>
    </w:tbl>
    <w:p w:rsidR="002E3B9C" w:rsidRPr="003941D1" w:rsidRDefault="002E3B9C" w:rsidP="002E3B9C">
      <w:pPr>
        <w:pStyle w:val="Paragrafi"/>
        <w:ind w:firstLine="0"/>
      </w:pPr>
    </w:p>
    <w:sectPr w:rsidR="002E3B9C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2E3B9C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D4BF3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3712798-91AA-424D-A748-F9043F77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B9C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2E3B9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iChar">
    <w:name w:val="Paragrafi Char"/>
    <w:basedOn w:val="DefaultParagraphFont"/>
    <w:link w:val="Paragrafi"/>
    <w:rsid w:val="002E3B9C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