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ED" w:rsidRPr="00A32AF0" w:rsidRDefault="001439ED" w:rsidP="001439ED">
      <w:pPr>
        <w:pStyle w:val="Paragrafi"/>
        <w:rPr>
          <w:szCs w:val="22"/>
        </w:rPr>
      </w:pPr>
      <w:bookmarkStart w:id="0" w:name="_GoBack"/>
      <w:bookmarkEnd w:id="0"/>
    </w:p>
    <w:p w:rsidR="001439ED" w:rsidRPr="00A32AF0" w:rsidRDefault="001439ED" w:rsidP="001439ED">
      <w:pPr>
        <w:pStyle w:val="Akti"/>
        <w:keepNext w:val="0"/>
      </w:pPr>
      <w:r w:rsidRPr="00A32AF0">
        <w:t xml:space="preserve">Vendim </w:t>
      </w:r>
    </w:p>
    <w:p w:rsidR="001439ED" w:rsidRPr="00A32AF0" w:rsidRDefault="001439ED" w:rsidP="001439ED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Nr.478, datë 16.7.2004</w:t>
      </w:r>
    </w:p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Titulli"/>
        <w:keepNext w:val="0"/>
      </w:pPr>
      <w:r w:rsidRPr="00A32AF0">
        <w:t xml:space="preserve">Për pranimet në universitetet dhe shkollat </w:t>
      </w:r>
      <w:smartTag w:uri="urn:schemas-microsoft-com:office:smarttags" w:element="place">
        <w:r w:rsidRPr="00A32AF0">
          <w:t>e larta</w:t>
        </w:r>
      </w:smartTag>
      <w:r w:rsidRPr="00A32AF0">
        <w:t>, në sistemin me shkëputje nga puna, si dhe për tarifën e shkollimit për vitin akademik 2004-2005</w:t>
      </w:r>
    </w:p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BazLigjPropozues"/>
        <w:keepNext w:val="0"/>
      </w:pPr>
      <w:r w:rsidRPr="00A32AF0">
        <w:t xml:space="preserve">Në mbështetje të nenit 100 të Kushtetutës dhe të neneve 24, 31 e 42 të ligjit nr.8461, datë 25.2.1999 "Për arsimin e lartë në Republikën e Shqipërisë”, të ndryshuar, me propozimin e Ministrit të Arsimit dhe të Shkencës, Këshilli i Ministrave </w:t>
      </w:r>
    </w:p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VENDOSI"/>
        <w:keepNext w:val="0"/>
      </w:pPr>
      <w:r w:rsidRPr="00A32AF0">
        <w:t>Vendosi:</w:t>
      </w:r>
    </w:p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1. Kuota e përgjithshme e pranimeve në universitetet dhe shkollat e larta, në sistemin me shkëputje nga puna për vitin akademik 2004-2005, të jetë 13 566 dhe të ndahet si më poshtë vijon:</w:t>
      </w:r>
    </w:p>
    <w:p w:rsidR="001439ED" w:rsidRPr="00A32AF0" w:rsidRDefault="001439ED" w:rsidP="001439ED">
      <w:pPr>
        <w:pStyle w:val="Paragrafi"/>
        <w:rPr>
          <w:szCs w:val="22"/>
        </w:rPr>
      </w:pP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2160"/>
      </w:tblGrid>
      <w:tr w:rsidR="001439ED" w:rsidRPr="00A32AF0">
        <w:tc>
          <w:tcPr>
            <w:tcW w:w="3600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a) Kuota e pranimeve të reja</w:t>
            </w:r>
          </w:p>
        </w:tc>
        <w:tc>
          <w:tcPr>
            <w:tcW w:w="2160" w:type="dxa"/>
          </w:tcPr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13 086;</w:t>
            </w:r>
          </w:p>
        </w:tc>
      </w:tr>
      <w:tr w:rsidR="001439ED" w:rsidRPr="00A32AF0">
        <w:tc>
          <w:tcPr>
            <w:tcW w:w="3600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b) Kuota për degë të dytë</w:t>
            </w:r>
          </w:p>
        </w:tc>
        <w:tc>
          <w:tcPr>
            <w:tcW w:w="2160" w:type="dxa"/>
          </w:tcPr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250;</w:t>
            </w:r>
          </w:p>
        </w:tc>
      </w:tr>
      <w:tr w:rsidR="001439ED" w:rsidRPr="00A32AF0">
        <w:tc>
          <w:tcPr>
            <w:tcW w:w="3600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c) Kuota për vite të ndërmjetme</w:t>
            </w:r>
          </w:p>
        </w:tc>
        <w:tc>
          <w:tcPr>
            <w:tcW w:w="2160" w:type="dxa"/>
          </w:tcPr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200;</w:t>
            </w:r>
          </w:p>
        </w:tc>
      </w:tr>
      <w:tr w:rsidR="001439ED" w:rsidRPr="00A32AF0">
        <w:tc>
          <w:tcPr>
            <w:tcW w:w="3600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rFonts w:cs="Sylfaen"/>
                <w:szCs w:val="22"/>
              </w:rPr>
              <w:t>ç</w:t>
            </w:r>
            <w:r w:rsidRPr="00A32AF0">
              <w:rPr>
                <w:szCs w:val="22"/>
              </w:rPr>
              <w:t>) Kuota për shtetasit e huaj</w:t>
            </w:r>
          </w:p>
        </w:tc>
        <w:tc>
          <w:tcPr>
            <w:tcW w:w="2160" w:type="dxa"/>
          </w:tcPr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30.</w:t>
            </w:r>
          </w:p>
        </w:tc>
      </w:tr>
    </w:tbl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2. Kuota e pranimeve të reja përbëhet nga:</w:t>
      </w:r>
    </w:p>
    <w:p w:rsidR="001439ED" w:rsidRPr="00A32AF0" w:rsidRDefault="001439ED" w:rsidP="001439ED">
      <w:pPr>
        <w:pStyle w:val="Paragrafi"/>
        <w:rPr>
          <w:szCs w:val="22"/>
        </w:rPr>
      </w:pP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2160"/>
      </w:tblGrid>
      <w:tr w:rsidR="001439ED" w:rsidRPr="00A32AF0">
        <w:tc>
          <w:tcPr>
            <w:tcW w:w="3600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 xml:space="preserve">a) Kuota kryesore </w:t>
            </w:r>
          </w:p>
        </w:tc>
        <w:tc>
          <w:tcPr>
            <w:tcW w:w="2160" w:type="dxa"/>
          </w:tcPr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12 694;</w:t>
            </w:r>
          </w:p>
        </w:tc>
      </w:tr>
      <w:tr w:rsidR="001439ED" w:rsidRPr="00A32AF0">
        <w:tc>
          <w:tcPr>
            <w:tcW w:w="3600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b) Kuota për shqiptarët nga trojet jashtë kufijve shtetërorë</w:t>
            </w:r>
          </w:p>
        </w:tc>
        <w:tc>
          <w:tcPr>
            <w:tcW w:w="2160" w:type="dxa"/>
          </w:tcPr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</w:p>
          <w:p w:rsidR="001439ED" w:rsidRPr="00A32AF0" w:rsidRDefault="001439ED" w:rsidP="001439ED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392.</w:t>
            </w:r>
          </w:p>
        </w:tc>
      </w:tr>
    </w:tbl>
    <w:p w:rsidR="001439ED" w:rsidRPr="00A32AF0" w:rsidRDefault="001439ED" w:rsidP="001439ED">
      <w:pPr>
        <w:pStyle w:val="Paragrafi"/>
        <w:rPr>
          <w:szCs w:val="22"/>
        </w:rPr>
      </w:pPr>
    </w:p>
    <w:p w:rsidR="001439ED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3. Kuota e pranimeve të reja për vitin akademik 2004-2005, të ndahet sipas tabelës nr.1, që i bashkëlidhet këtij vendimi.</w:t>
      </w:r>
    </w:p>
    <w:p w:rsidR="001439ED" w:rsidRDefault="001439ED" w:rsidP="001439ED">
      <w:pPr>
        <w:pStyle w:val="Paragrafi"/>
        <w:rPr>
          <w:szCs w:val="22"/>
        </w:rPr>
      </w:pPr>
    </w:p>
    <w:p w:rsidR="001439ED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4. Kandidatët shqiptarë nga trojet jashtë kufijve shtetërorë të vendit: Kosovë, Maqedoni, Mal i Zi, Preshevë, Bujanovc dhe Medvegjë, konkurrojnë ndërmjet tyre për kuotat e pranimit, të përcaktuara sipas degëve, të paraqitura në tabelën nr.2, që i bashkëlidhet këtij vendimi. Këto kuota përfshihen në numrin e kuotave të pranimeve të reja.</w:t>
      </w: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5. Kuotat e pranimeve për shtetasit e huaj administrohen nga Ministria e Arsimit dhe e Shkencës, në bazë të kërkesave të paraqitura pranë universiteteve dhe shkollave të larta.</w:t>
      </w: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6. Kuotat e pranimeve për vitet e ndërmjetme dhe degët e dyta administrohen nga Ministria e Arsimit dhe e Shkencës dhe shpërndahen sipas kërkesave të paraqitura nga universitetet dhe shkollat e larta.</w:t>
      </w: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7. Kandidatët, që do të vazhdojnë studimet në një degë të dytë, pranohen pa konkurs dhe u nënshtrohen tarifave të shkollimit. Masa e tarifës së shkollimit për degë të dytë është e barabartë me tarifën e shkollimit për kuotat dytësore. Në rastet kur ka më shumë kandidatë se kuotat e përcaktuara në vendimin e Këshillit të Ministrave, përzgjedhja e kandidatëve bëhet në bazë të cilësisë së rezultateve të fituara në degën e parë.</w:t>
      </w: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8. Tarifat vjetore të shkollimit për studentët, në vitin kademik 2004-2005, të jenë si më poshtë vijon:</w:t>
      </w:r>
    </w:p>
    <w:p w:rsidR="001439ED" w:rsidRPr="00A32AF0" w:rsidRDefault="001439ED" w:rsidP="001439ED">
      <w:pPr>
        <w:pStyle w:val="Paragrafi"/>
        <w:rPr>
          <w:szCs w:val="22"/>
        </w:rPr>
      </w:pPr>
    </w:p>
    <w:tbl>
      <w:tblPr>
        <w:tblStyle w:val="TableGrid"/>
        <w:tblW w:w="0" w:type="auto"/>
        <w:tblInd w:w="1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55"/>
        <w:gridCol w:w="3416"/>
      </w:tblGrid>
      <w:tr w:rsidR="001439ED" w:rsidRPr="00A32AF0">
        <w:tc>
          <w:tcPr>
            <w:tcW w:w="3455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a) Kursi i parë</w:t>
            </w:r>
          </w:p>
        </w:tc>
        <w:tc>
          <w:tcPr>
            <w:tcW w:w="3416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10 000 (dhjetë mijë) lekë</w:t>
            </w:r>
          </w:p>
        </w:tc>
      </w:tr>
      <w:tr w:rsidR="001439ED" w:rsidRPr="00A32AF0">
        <w:tc>
          <w:tcPr>
            <w:tcW w:w="3455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b) Kursi i dytë</w:t>
            </w:r>
          </w:p>
        </w:tc>
        <w:tc>
          <w:tcPr>
            <w:tcW w:w="3416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 xml:space="preserve">7 000 (shtatë mijë) lekë   </w:t>
            </w:r>
          </w:p>
        </w:tc>
      </w:tr>
      <w:tr w:rsidR="001439ED" w:rsidRPr="00A32AF0">
        <w:tc>
          <w:tcPr>
            <w:tcW w:w="3455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 xml:space="preserve">c) Kursi i tretë, i katërt e i pestë </w:t>
            </w:r>
          </w:p>
        </w:tc>
        <w:tc>
          <w:tcPr>
            <w:tcW w:w="3416" w:type="dxa"/>
          </w:tcPr>
          <w:p w:rsidR="001439ED" w:rsidRPr="00A32AF0" w:rsidRDefault="001439ED" w:rsidP="001439ED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2 500 (dy mijë e pesëqind) lekë</w:t>
            </w:r>
          </w:p>
        </w:tc>
      </w:tr>
    </w:tbl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 xml:space="preserve"> 9. Mënyra e plotësimit të kuotave të parealizuara të pikës 1 të këtij vendimi përcaktohen nga </w:t>
      </w:r>
      <w:r w:rsidRPr="00A32AF0">
        <w:rPr>
          <w:szCs w:val="22"/>
        </w:rPr>
        <w:lastRenderedPageBreak/>
        <w:t>Ministria e Arsimit dhe e Shkencës, në bashkëpunim me shkollat e larta dhe universitetet.</w:t>
      </w: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10. Ngarkohet Ministri i Arsimit dhe i Shkencës për zbatimin e këtij vendimi.</w:t>
      </w:r>
    </w:p>
    <w:p w:rsidR="001439ED" w:rsidRPr="00A32AF0" w:rsidRDefault="001439ED" w:rsidP="001439ED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1439ED" w:rsidRPr="00A32AF0" w:rsidRDefault="001439ED" w:rsidP="001439ED">
      <w:pPr>
        <w:pStyle w:val="Paragrafi"/>
        <w:rPr>
          <w:szCs w:val="22"/>
        </w:rPr>
      </w:pPr>
    </w:p>
    <w:p w:rsidR="001439ED" w:rsidRPr="00A32AF0" w:rsidRDefault="001439ED" w:rsidP="001439ED">
      <w:pPr>
        <w:pStyle w:val="Autoriteti"/>
        <w:keepNext w:val="0"/>
      </w:pPr>
      <w:r w:rsidRPr="00A32AF0">
        <w:t xml:space="preserve">Kryeministri </w:t>
      </w:r>
    </w:p>
    <w:p w:rsidR="001439ED" w:rsidRPr="00A32AF0" w:rsidRDefault="001439ED" w:rsidP="001439ED">
      <w:pPr>
        <w:pStyle w:val="AutoritetiEmer"/>
      </w:pPr>
      <w:r w:rsidRPr="00A32AF0">
        <w:t>Fatos Nano</w:t>
      </w:r>
    </w:p>
    <w:p w:rsidR="001439ED" w:rsidRPr="00A32AF0" w:rsidRDefault="008B6F0B" w:rsidP="001439ED">
      <w:pPr>
        <w:pStyle w:val="Figure"/>
      </w:pPr>
      <w:r w:rsidRPr="00A32AF0">
        <w:rPr>
          <w:noProof/>
          <w:lang w:val="en-GB" w:eastAsia="en-GB"/>
        </w:rPr>
        <w:lastRenderedPageBreak/>
        <w:drawing>
          <wp:inline distT="0" distB="0" distL="0" distR="0">
            <wp:extent cx="5759450" cy="8134350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9ED" w:rsidRPr="00A32AF0" w:rsidRDefault="008B6F0B" w:rsidP="001439ED">
      <w:pPr>
        <w:pStyle w:val="Figure"/>
      </w:pPr>
      <w:r w:rsidRPr="00A32AF0">
        <w:rPr>
          <w:noProof/>
          <w:lang w:val="en-GB" w:eastAsia="en-GB"/>
        </w:rPr>
        <w:lastRenderedPageBreak/>
        <w:drawing>
          <wp:inline distT="0" distB="0" distL="0" distR="0">
            <wp:extent cx="5759450" cy="8015605"/>
            <wp:effectExtent l="0" t="0" r="0" b="4445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1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9ED" w:rsidRPr="00A32AF0" w:rsidRDefault="001439ED" w:rsidP="001439ED">
      <w:pPr>
        <w:pStyle w:val="Akti"/>
        <w:keepNext w:val="0"/>
      </w:pPr>
    </w:p>
    <w:p w:rsidR="001439ED" w:rsidRPr="00A32AF0" w:rsidRDefault="001439ED" w:rsidP="001439ED">
      <w:pPr>
        <w:pStyle w:val="Akti"/>
        <w:keepNext w:val="0"/>
      </w:pPr>
    </w:p>
    <w:p w:rsidR="001439ED" w:rsidRPr="00A32AF0" w:rsidRDefault="001439ED" w:rsidP="001439ED">
      <w:pPr>
        <w:pStyle w:val="Akti"/>
        <w:keepNext w:val="0"/>
      </w:pPr>
    </w:p>
    <w:p w:rsidR="001439ED" w:rsidRPr="00A32AF0" w:rsidRDefault="001439ED" w:rsidP="001439ED">
      <w:pPr>
        <w:pStyle w:val="Akti"/>
        <w:keepNext w:val="0"/>
      </w:pPr>
    </w:p>
    <w:p w:rsidR="001439ED" w:rsidRPr="00A32AF0" w:rsidRDefault="001439ED" w:rsidP="001439ED">
      <w:pPr>
        <w:pStyle w:val="Akti"/>
        <w:keepNext w:val="0"/>
      </w:pPr>
    </w:p>
    <w:sectPr w:rsidR="001439ED" w:rsidRPr="00A32AF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439ED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B6F0B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3E8620-CBE8-458E-ACDF-2E3AEC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9ED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1439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1439E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