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B2A" w:rsidRPr="00842B30" w:rsidRDefault="008C7B2A" w:rsidP="008C7B2A">
      <w:pPr>
        <w:pStyle w:val="Akti"/>
      </w:pPr>
      <w:bookmarkStart w:id="0" w:name="_GoBack"/>
      <w:bookmarkEnd w:id="0"/>
      <w:r w:rsidRPr="00842B30">
        <w:t>VENDIM</w:t>
      </w:r>
    </w:p>
    <w:p w:rsidR="008C7B2A" w:rsidRPr="00842B30" w:rsidRDefault="008C7B2A" w:rsidP="008C7B2A">
      <w:pPr>
        <w:pStyle w:val="NumriData"/>
        <w:rPr>
          <w:szCs w:val="22"/>
        </w:rPr>
      </w:pPr>
      <w:r w:rsidRPr="00842B30">
        <w:rPr>
          <w:szCs w:val="22"/>
        </w:rPr>
        <w:t>Nr.560, datë 27.8.2004</w:t>
      </w:r>
    </w:p>
    <w:p w:rsidR="008C7B2A" w:rsidRPr="00842B30" w:rsidRDefault="008C7B2A" w:rsidP="008C7B2A">
      <w:pPr>
        <w:pStyle w:val="Paragrafi"/>
        <w:rPr>
          <w:szCs w:val="22"/>
        </w:rPr>
      </w:pPr>
    </w:p>
    <w:p w:rsidR="008C7B2A" w:rsidRPr="00842B30" w:rsidRDefault="008C7B2A" w:rsidP="008C7B2A">
      <w:pPr>
        <w:pStyle w:val="Titulli"/>
      </w:pPr>
      <w:r w:rsidRPr="00842B30">
        <w:t>PËR PËRCAKTIMIN E DISA KUSHTEVE LEHTËSUESE PËR NDËRTIMIN E BURIMEVE TË REJA TË PRODHIMIT TË ENERGJISË ELEKTRIKE</w:t>
      </w:r>
    </w:p>
    <w:p w:rsidR="008C7B2A" w:rsidRPr="00842B30" w:rsidRDefault="008C7B2A" w:rsidP="008C7B2A">
      <w:pPr>
        <w:pStyle w:val="Paragrafi"/>
        <w:rPr>
          <w:szCs w:val="22"/>
        </w:rPr>
      </w:pPr>
    </w:p>
    <w:p w:rsidR="008C7B2A" w:rsidRPr="00842B30" w:rsidRDefault="008C7B2A" w:rsidP="008C7B2A">
      <w:pPr>
        <w:pStyle w:val="BazLigjPropozues"/>
      </w:pPr>
      <w:r w:rsidRPr="00842B30">
        <w:t>Në mbështetje të nenit 100 të Kushtetutës dhe të neneve 2,3 e 5 të ligjit nr.8987, datë 24.12.2002 "Për krijimin e kushteve lehtësuese për ndërtimin e burimeve të reja të prodhimit të energjisë elektrike", me propozimin e Ministrit të Industrisë dhe të Energjetikës dhe të Ministrit të Financave, Këshilli i Ministrave</w:t>
      </w:r>
    </w:p>
    <w:p w:rsidR="008C7B2A" w:rsidRPr="00842B30" w:rsidRDefault="008C7B2A" w:rsidP="008C7B2A">
      <w:pPr>
        <w:pStyle w:val="Paragrafi"/>
        <w:rPr>
          <w:szCs w:val="22"/>
        </w:rPr>
      </w:pPr>
    </w:p>
    <w:p w:rsidR="008C7B2A" w:rsidRPr="00842B30" w:rsidRDefault="008C7B2A" w:rsidP="008C7B2A">
      <w:pPr>
        <w:pStyle w:val="VENDOSI"/>
      </w:pPr>
      <w:r w:rsidRPr="00842B30">
        <w:t>VENDOSI:</w:t>
      </w:r>
    </w:p>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t>1. Personi juridik, vendas ose i huaj, i cili ndërton burime të prodhimit të energjisë elektrike me fuqi të instaluar jo më pak se 5 MW për burim, që përdorin lëndë djegëse të lëngëta ose të ngurta dhe pa kufizim për burime të tjera të rinovueshme të prodhimit, pasi të ketë marrë nga organet shtetërore përkatëse lejen për ndërtimin e një objekti gjenerues në përputhje me legjislacionin në fuqi, duhet të paraqesë pranë Ministrisë së Industrisë dhe të Energjetikës, 6 muaj para fillimit të importimit, listën e plotë e të specifikuar të makinerive dhe pajisjeve që do të importohen vetëm për këtë objekt.</w:t>
      </w:r>
    </w:p>
    <w:p w:rsidR="008C7B2A" w:rsidRPr="00842B30" w:rsidRDefault="008C7B2A" w:rsidP="008C7B2A">
      <w:pPr>
        <w:pStyle w:val="Paragrafi"/>
        <w:rPr>
          <w:szCs w:val="22"/>
        </w:rPr>
      </w:pPr>
      <w:r w:rsidRPr="00842B30">
        <w:rPr>
          <w:szCs w:val="22"/>
        </w:rPr>
        <w:t>Ministri i Industrisë dhe i Energjetikës e miraton këtë listë pas shqyrtimit dhe verifikimit të saj.</w:t>
      </w:r>
    </w:p>
    <w:p w:rsidR="008C7B2A" w:rsidRPr="00842B30" w:rsidRDefault="008C7B2A" w:rsidP="008C7B2A">
      <w:pPr>
        <w:pStyle w:val="Paragrafi"/>
        <w:rPr>
          <w:szCs w:val="22"/>
        </w:rPr>
      </w:pPr>
      <w:r w:rsidRPr="00842B30">
        <w:rPr>
          <w:szCs w:val="22"/>
        </w:rPr>
        <w:t>2. Lista e përmendur në pikën 1 të këtij vendimi duhet të përmbajë për çdo makineri dhe pajisje që importohet, këto specifikime:</w:t>
      </w:r>
    </w:p>
    <w:p w:rsidR="008C7B2A" w:rsidRPr="00842B30" w:rsidRDefault="008C7B2A" w:rsidP="008C7B2A">
      <w:pPr>
        <w:pStyle w:val="Paragrafi"/>
        <w:rPr>
          <w:szCs w:val="22"/>
        </w:rPr>
      </w:pPr>
      <w:r w:rsidRPr="00842B30">
        <w:rPr>
          <w:szCs w:val="22"/>
        </w:rPr>
        <w:t>- emërtimin dhe shenjat e njësisë së makinerisë/pajisjes;</w:t>
      </w:r>
    </w:p>
    <w:p w:rsidR="008C7B2A" w:rsidRPr="00842B30" w:rsidRDefault="008C7B2A" w:rsidP="008C7B2A">
      <w:pPr>
        <w:pStyle w:val="Paragrafi"/>
        <w:rPr>
          <w:szCs w:val="22"/>
        </w:rPr>
      </w:pPr>
      <w:r w:rsidRPr="00842B30">
        <w:rPr>
          <w:szCs w:val="22"/>
        </w:rPr>
        <w:t>- karakteristikat kryesore teknike të makinerisë/pajisjes, sasinë dhe çmimin e blerjes;</w:t>
      </w:r>
    </w:p>
    <w:p w:rsidR="008C7B2A" w:rsidRDefault="008C7B2A" w:rsidP="008C7B2A">
      <w:pPr>
        <w:pStyle w:val="Paragrafi"/>
        <w:rPr>
          <w:szCs w:val="22"/>
        </w:rPr>
      </w:pPr>
      <w:r w:rsidRPr="00842B30">
        <w:rPr>
          <w:szCs w:val="22"/>
        </w:rPr>
        <w:t>- specifikime të tjera sqaruese (konsumi specifik i burimit etj.).</w:t>
      </w:r>
    </w:p>
    <w:p w:rsidR="008C7B2A" w:rsidRDefault="008C7B2A" w:rsidP="008C7B2A">
      <w:pPr>
        <w:pStyle w:val="Paragrafi"/>
        <w:rPr>
          <w:szCs w:val="22"/>
        </w:rPr>
      </w:pPr>
    </w:p>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t>3. Lista e miratuar nga Ministri i Industrisë dhe i Energjetikës mbahet në pesë kopje, nga të cilat: një kopje i dërgohet subjektit investitor të licencuar, një kopje Ministrisë së Financave, një kopje Drejtorisë së Përgjithshme të Doganave, një kopje Drejtorisë së Përgjithshme të Tatimeve dhe një kopje ruhet në Ministrinë e Industrisë dhe të Energjetikës.</w:t>
      </w:r>
    </w:p>
    <w:p w:rsidR="008C7B2A" w:rsidRPr="00842B30" w:rsidRDefault="008C7B2A" w:rsidP="008C7B2A">
      <w:pPr>
        <w:pStyle w:val="Paragrafi"/>
        <w:rPr>
          <w:szCs w:val="22"/>
        </w:rPr>
      </w:pPr>
      <w:r w:rsidRPr="00842B30">
        <w:rPr>
          <w:szCs w:val="22"/>
        </w:rPr>
        <w:t>4. Drejtoria e Përgjithshme e Doganave, pas paraqitjes së kërkesës nga subjekti investitor, zbaton të gjitha procedurat e parashikuara nga legjislacioni doganor për përjashtimin e makinerive dhe të pajisjeve të përfshira në listë nga taksat doganore.</w:t>
      </w:r>
    </w:p>
    <w:p w:rsidR="008C7B2A" w:rsidRPr="00842B30" w:rsidRDefault="008C7B2A" w:rsidP="008C7B2A">
      <w:pPr>
        <w:pStyle w:val="Paragrafi"/>
        <w:rPr>
          <w:szCs w:val="22"/>
        </w:rPr>
      </w:pPr>
      <w:r w:rsidRPr="00842B30">
        <w:rPr>
          <w:szCs w:val="22"/>
        </w:rPr>
        <w:t>5. Për çdo ndryshim në listën e specifikuar të makinerive dhe pajisjeve që importohen, institucionet e përmendura në pikën 3, veprojnë në përputhje me dokumentet zyrtare që kërkojnë ndryshimin dhe për këtë japin miratimin përkatës. Në rast se në listën e miratuar më parë është përfshirë një makineri/pajisje, që nuk i takon këtij objekti, veprimet doganore kryhen vetëm pasi të shlyhet dhe dokumentohet pagesa e taksës doganore, e cila nuk ishte paguar në zbatim të këtij vendimi.</w:t>
      </w:r>
    </w:p>
    <w:p w:rsidR="008C7B2A" w:rsidRPr="00842B30" w:rsidRDefault="008C7B2A" w:rsidP="008C7B2A">
      <w:pPr>
        <w:pStyle w:val="Paragrafi"/>
        <w:rPr>
          <w:szCs w:val="22"/>
        </w:rPr>
      </w:pPr>
      <w:r w:rsidRPr="00842B30">
        <w:rPr>
          <w:szCs w:val="22"/>
        </w:rPr>
        <w:t>6. Energjia elektrike e shitur, që prodhohet nga burimet, sipas përcaktimit të pikës 1, matet nëpërmjet matësit të energjisë elektrike, i cili administrohet dhe kontrollohet bashkërisht nga prodhuesi dhe blerësi.</w:t>
      </w:r>
    </w:p>
    <w:p w:rsidR="008C7B2A" w:rsidRPr="00842B30" w:rsidRDefault="008C7B2A" w:rsidP="008C7B2A">
      <w:pPr>
        <w:pStyle w:val="Paragrafi"/>
        <w:rPr>
          <w:szCs w:val="22"/>
        </w:rPr>
      </w:pPr>
      <w:r w:rsidRPr="00842B30">
        <w:rPr>
          <w:szCs w:val="22"/>
        </w:rPr>
        <w:t>Sasia e energjisë elektrike të shitur apo prodhuar të vlerësohet çdo muaj si diferencë e leximeve të matësit në fund dhe në fillim të muajit.</w:t>
      </w:r>
    </w:p>
    <w:p w:rsidR="008C7B2A" w:rsidRPr="00842B30" w:rsidRDefault="008C7B2A" w:rsidP="008C7B2A">
      <w:pPr>
        <w:pStyle w:val="Paragrafi"/>
        <w:rPr>
          <w:szCs w:val="22"/>
        </w:rPr>
      </w:pPr>
      <w:r w:rsidRPr="00842B30">
        <w:rPr>
          <w:szCs w:val="22"/>
        </w:rPr>
        <w:t>Sasia e energjisë elektrike, që u shitet të tretëve, matet në kWh/muaj dhe deklarohet në faturën e përbashkët të mbajtur ndërmjet shitësit dhe blerësit, ndërsa sasia e energjisë së prodhuar deklarohet nga prodhuesi, sipas vlerës së treguar në matësin e vendosur në dalje të gjeneratorit elektrik.</w:t>
      </w:r>
    </w:p>
    <w:p w:rsidR="008C7B2A" w:rsidRPr="00842B30" w:rsidRDefault="008C7B2A" w:rsidP="008C7B2A">
      <w:pPr>
        <w:pStyle w:val="Paragrafi"/>
        <w:rPr>
          <w:szCs w:val="22"/>
        </w:rPr>
      </w:pPr>
      <w:r w:rsidRPr="00842B30">
        <w:rPr>
          <w:szCs w:val="22"/>
        </w:rPr>
        <w:t>7. Për subjektet që prodhojnë energji elektrike kryesisht për nevojat e veta (vetëprodhuesit), energjia elektrike e shitur nënkupton energjinë e prodhuar dhe të matur nga matësi i gjeneratorëve elektrikë.</w:t>
      </w:r>
    </w:p>
    <w:p w:rsidR="008C7B2A" w:rsidRPr="00842B30" w:rsidRDefault="008C7B2A" w:rsidP="008C7B2A">
      <w:pPr>
        <w:pStyle w:val="Paragrafi"/>
        <w:rPr>
          <w:szCs w:val="22"/>
        </w:rPr>
      </w:pPr>
      <w:r w:rsidRPr="00842B30">
        <w:rPr>
          <w:szCs w:val="22"/>
        </w:rPr>
        <w:t>8. Konsum specifik i lëndës djegëse në burim është sasia e lëndës djegëse të përdorur për prodhimin e 1 kWh energji elektrike. Në këtë vlerë përfshihet edhe sasia e lëndës djegëse, që konsumohet për nevojat e centralit elektrik.</w:t>
      </w:r>
    </w:p>
    <w:p w:rsidR="008C7B2A" w:rsidRPr="00842B30" w:rsidRDefault="008C7B2A" w:rsidP="008C7B2A">
      <w:pPr>
        <w:pStyle w:val="Paragrafi"/>
        <w:rPr>
          <w:szCs w:val="22"/>
        </w:rPr>
      </w:pPr>
      <w:r w:rsidRPr="00842B30">
        <w:rPr>
          <w:szCs w:val="22"/>
        </w:rPr>
        <w:lastRenderedPageBreak/>
        <w:t>9. Sasia e lëndës djegëse të konsumuar, që do të rimbursohet, llogaritet si produkt i sasisë së energjisë elektrike të shitur apo të prodhuar, me konsumin specifik të lëndës djegëse të llogaritur sipas tabelës nr.1, që i bashkëlidhet këtij vendimi.</w:t>
      </w:r>
    </w:p>
    <w:p w:rsidR="008C7B2A" w:rsidRPr="00842B30" w:rsidRDefault="008C7B2A" w:rsidP="008C7B2A">
      <w:pPr>
        <w:pStyle w:val="Paragrafi"/>
        <w:rPr>
          <w:szCs w:val="22"/>
        </w:rPr>
      </w:pPr>
      <w:r w:rsidRPr="00842B30">
        <w:rPr>
          <w:szCs w:val="22"/>
        </w:rPr>
        <w:t>10. Për llogaritjen e sasisë së lëndës djegëse të rimbursuar, si vlerë e konsumit specifik, kur kjo vlerë është më e vogël se vlera përkatëse e tabelës nr.1 të përmendur në pikën 9 të këtij vendimi, të përdoret vlera e deklaruar nga subjekti, sipas pikës 2 të këtij vendimi.</w:t>
      </w:r>
    </w:p>
    <w:p w:rsidR="008C7B2A" w:rsidRPr="00842B30" w:rsidRDefault="008C7B2A" w:rsidP="008C7B2A">
      <w:pPr>
        <w:pStyle w:val="Paragrafi"/>
        <w:rPr>
          <w:szCs w:val="22"/>
        </w:rPr>
      </w:pPr>
      <w:r w:rsidRPr="00842B30">
        <w:rPr>
          <w:szCs w:val="22"/>
        </w:rPr>
        <w:t>Për llogaritjen e sasisë së lëndës djegëse të rimbursuar, kur vlera e konsumit specifik të deklaruar është më e madhe se vlera përkatëse, sipas tabelës nr.1 të përdoret vlera e dhënë në këtë tabelë, në funksion të llojit të lëndës djegëse dhe të teknologjisë që përdoret.</w:t>
      </w:r>
    </w:p>
    <w:p w:rsidR="008C7B2A" w:rsidRPr="00842B30" w:rsidRDefault="008C7B2A" w:rsidP="008C7B2A">
      <w:pPr>
        <w:pStyle w:val="Paragrafi"/>
        <w:rPr>
          <w:szCs w:val="22"/>
        </w:rPr>
      </w:pPr>
      <w:r w:rsidRPr="00842B30">
        <w:rPr>
          <w:szCs w:val="22"/>
        </w:rPr>
        <w:t>Për llogaritjen e sasisë së lëndës djegëse të rimbursuar, për çdo vit amortizimi të burimit, vlera e konsumit specifik të lëndës djegëse rritet me një normë 1 për qind, kur burimi punon me lëndë djegëse gaz natyror, 1.15 për qind, kur punon me lëndë djegëse diesel, 1.3 për qind, kur punon me lëndë djegëse solar, 1.45 për qind, kur punon me lëndë djegëse mazut, dhe 1.60 për qind, kur punon me lëndë djegëse qymyr.</w:t>
      </w:r>
    </w:p>
    <w:p w:rsidR="008C7B2A" w:rsidRPr="00842B30" w:rsidRDefault="008C7B2A" w:rsidP="008C7B2A">
      <w:pPr>
        <w:pStyle w:val="Paragrafi"/>
        <w:rPr>
          <w:szCs w:val="22"/>
        </w:rPr>
      </w:pPr>
      <w:r w:rsidRPr="00842B30">
        <w:rPr>
          <w:szCs w:val="22"/>
        </w:rPr>
        <w:t>11. Vlera e rimbursimit të sasisë së lëndës djegëse të konsumuar (Vr lekë/muaj) për energjinë elektrike të shitur apo prodhuar, bazohet në sasinë e shitur apo të prodhuar të energjisë elektrike, në konsumin specifik, në vlerën doganore të importit të lëndës djegëse përkatëse, si dhe në rimbursimin e plotë të taksës doganore e akcizës dhe llogaritet sipas formulës së paraqitur në shtojcën nr.1, që i bashkëlidhet këtij vendimi.</w:t>
      </w:r>
    </w:p>
    <w:p w:rsidR="008C7B2A" w:rsidRPr="00842B30" w:rsidRDefault="008C7B2A" w:rsidP="008C7B2A">
      <w:pPr>
        <w:pStyle w:val="Paragrafi"/>
        <w:rPr>
          <w:szCs w:val="22"/>
        </w:rPr>
      </w:pPr>
      <w:r w:rsidRPr="00842B30">
        <w:rPr>
          <w:szCs w:val="22"/>
        </w:rPr>
        <w:t>12. Rimbursimi i kundërvlerës së taksës doganore e i akcizës për lëndën djegëse të konsumuar, të llogaritur sipas formulës, të bëhet nga Drejtoria e Përgjithshme e Ta</w:t>
      </w:r>
      <w:r>
        <w:rPr>
          <w:szCs w:val="22"/>
        </w:rPr>
        <w:t>timeve, për çdo muaj, nga lloga</w:t>
      </w:r>
      <w:r w:rsidRPr="00842B30">
        <w:rPr>
          <w:szCs w:val="22"/>
        </w:rPr>
        <w:t>ria e veçantë buxhetore e krijuar nga kjo drejtori për këtë qëllim dhe jo më vonë se 45 ditë nga data e kryerjes së veprimeve në doganë.</w:t>
      </w:r>
    </w:p>
    <w:p w:rsidR="008C7B2A" w:rsidRPr="00842B30" w:rsidRDefault="008C7B2A" w:rsidP="008C7B2A">
      <w:pPr>
        <w:pStyle w:val="Paragrafi"/>
        <w:rPr>
          <w:szCs w:val="22"/>
        </w:rPr>
      </w:pPr>
      <w:r w:rsidRPr="00842B30">
        <w:rPr>
          <w:szCs w:val="22"/>
        </w:rPr>
        <w:t>13. Ngarkohen Ministri i Industrisë dhe i Energjetikës dhe Ministri i Financave të nxjerrin udhëzimet e nevojshme për zbatimin e këtij vendimi.</w:t>
      </w:r>
    </w:p>
    <w:p w:rsidR="008C7B2A" w:rsidRPr="00842B30" w:rsidRDefault="008C7B2A" w:rsidP="008C7B2A">
      <w:pPr>
        <w:pStyle w:val="Paragrafi"/>
        <w:rPr>
          <w:szCs w:val="22"/>
        </w:rPr>
      </w:pPr>
      <w:r w:rsidRPr="00842B30">
        <w:rPr>
          <w:szCs w:val="22"/>
        </w:rPr>
        <w:t>14. Ngarkohen Ministri i Industrisë dhe i Energjetikës dhe Ministri i Financave për zbatimin e këtij vendimi.</w:t>
      </w:r>
    </w:p>
    <w:p w:rsidR="008C7B2A" w:rsidRPr="00842B30" w:rsidRDefault="008C7B2A" w:rsidP="008C7B2A">
      <w:pPr>
        <w:pStyle w:val="Paragrafi"/>
        <w:rPr>
          <w:szCs w:val="22"/>
        </w:rPr>
      </w:pPr>
      <w:r w:rsidRPr="00842B30">
        <w:rPr>
          <w:szCs w:val="22"/>
        </w:rPr>
        <w:t>Ky vendim hyn në fuqi pas botimit në Fletoren Zyrtare.</w:t>
      </w:r>
    </w:p>
    <w:p w:rsidR="008C7B2A" w:rsidRPr="00842B30" w:rsidRDefault="008C7B2A" w:rsidP="008C7B2A">
      <w:pPr>
        <w:pStyle w:val="Paragrafi"/>
        <w:rPr>
          <w:szCs w:val="22"/>
        </w:rPr>
      </w:pPr>
    </w:p>
    <w:p w:rsidR="008C7B2A" w:rsidRPr="00842B30" w:rsidRDefault="008C7B2A" w:rsidP="008C7B2A">
      <w:pPr>
        <w:pStyle w:val="Autoriteti"/>
      </w:pPr>
      <w:r w:rsidRPr="00842B30">
        <w:t>KRYEMINISTRI</w:t>
      </w:r>
    </w:p>
    <w:p w:rsidR="008C7B2A" w:rsidRPr="00842B30" w:rsidRDefault="008C7B2A" w:rsidP="008C7B2A">
      <w:pPr>
        <w:pStyle w:val="AutoritetiEmer"/>
      </w:pPr>
      <w:r w:rsidRPr="00842B30">
        <w:t>Fatos Nano</w:t>
      </w:r>
    </w:p>
    <w:p w:rsidR="008C7B2A" w:rsidRPr="00842B30" w:rsidRDefault="008C7B2A" w:rsidP="008C7B2A">
      <w:pPr>
        <w:pStyle w:val="Paragrafi"/>
        <w:rPr>
          <w:szCs w:val="22"/>
        </w:rPr>
      </w:pPr>
    </w:p>
    <w:p w:rsidR="008C7B2A" w:rsidRPr="00842B30" w:rsidRDefault="008C7B2A" w:rsidP="008C7B2A">
      <w:pPr>
        <w:pStyle w:val="Paragrafi"/>
        <w:rPr>
          <w:szCs w:val="22"/>
        </w:rPr>
      </w:pPr>
      <w:r>
        <w:rPr>
          <w:szCs w:val="22"/>
        </w:rPr>
        <w:t>Tabela n</w:t>
      </w:r>
      <w:r w:rsidRPr="00842B30">
        <w:rPr>
          <w:szCs w:val="22"/>
        </w:rPr>
        <w:t>r.1</w:t>
      </w:r>
    </w:p>
    <w:p w:rsidR="008C7B2A" w:rsidRPr="00842B30" w:rsidRDefault="008C7B2A" w:rsidP="008C7B2A">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47"/>
        <w:gridCol w:w="1548"/>
        <w:gridCol w:w="1548"/>
        <w:gridCol w:w="1548"/>
        <w:gridCol w:w="1548"/>
      </w:tblGrid>
      <w:tr w:rsidR="008C7B2A" w:rsidRPr="00842B30">
        <w:trPr>
          <w:trHeight w:val="543"/>
          <w:jc w:val="center"/>
        </w:trPr>
        <w:tc>
          <w:tcPr>
            <w:tcW w:w="9286" w:type="dxa"/>
            <w:gridSpan w:val="6"/>
          </w:tcPr>
          <w:p w:rsidR="008C7B2A" w:rsidRPr="00842B30" w:rsidRDefault="008C7B2A" w:rsidP="008C7B2A">
            <w:pPr>
              <w:pStyle w:val="Tabele"/>
              <w:jc w:val="center"/>
              <w:rPr>
                <w:szCs w:val="22"/>
              </w:rPr>
            </w:pPr>
            <w:r w:rsidRPr="00842B30">
              <w:rPr>
                <w:szCs w:val="22"/>
              </w:rPr>
              <w:t>Tabela 1. Vlerat e pranuara të konsumit specifik në funksion të teknologjisë dhe lëndëve djegëse të përdorura në burimet e energjisë elektrike</w:t>
            </w:r>
          </w:p>
        </w:tc>
      </w:tr>
      <w:tr w:rsidR="008C7B2A" w:rsidRPr="00842B30">
        <w:trPr>
          <w:jc w:val="center"/>
        </w:trPr>
        <w:tc>
          <w:tcPr>
            <w:tcW w:w="1547" w:type="dxa"/>
          </w:tcPr>
          <w:p w:rsidR="008C7B2A" w:rsidRPr="00842B30" w:rsidRDefault="008C7B2A" w:rsidP="008C7B2A">
            <w:pPr>
              <w:pStyle w:val="Tabele"/>
              <w:rPr>
                <w:szCs w:val="22"/>
              </w:rPr>
            </w:pPr>
            <w:r w:rsidRPr="00842B30">
              <w:rPr>
                <w:szCs w:val="22"/>
              </w:rPr>
              <w:t>Lënda djegëse</w:t>
            </w:r>
          </w:p>
        </w:tc>
        <w:tc>
          <w:tcPr>
            <w:tcW w:w="1547" w:type="dxa"/>
          </w:tcPr>
          <w:p w:rsidR="008C7B2A" w:rsidRPr="00842B30" w:rsidRDefault="008C7B2A" w:rsidP="008C7B2A">
            <w:pPr>
              <w:pStyle w:val="Tabele"/>
              <w:rPr>
                <w:szCs w:val="22"/>
              </w:rPr>
            </w:pPr>
            <w:r w:rsidRPr="00842B30">
              <w:rPr>
                <w:szCs w:val="22"/>
              </w:rPr>
              <w:t>Motor diesel (DM)</w:t>
            </w:r>
          </w:p>
        </w:tc>
        <w:tc>
          <w:tcPr>
            <w:tcW w:w="1548" w:type="dxa"/>
          </w:tcPr>
          <w:p w:rsidR="008C7B2A" w:rsidRPr="00842B30" w:rsidRDefault="008C7B2A" w:rsidP="008C7B2A">
            <w:pPr>
              <w:pStyle w:val="Tabele"/>
              <w:rPr>
                <w:szCs w:val="22"/>
              </w:rPr>
            </w:pPr>
            <w:r w:rsidRPr="00842B30">
              <w:rPr>
                <w:szCs w:val="22"/>
              </w:rPr>
              <w:t>Turbinë me gaz (GT)</w:t>
            </w:r>
          </w:p>
        </w:tc>
        <w:tc>
          <w:tcPr>
            <w:tcW w:w="1548" w:type="dxa"/>
          </w:tcPr>
          <w:p w:rsidR="008C7B2A" w:rsidRPr="00842B30" w:rsidRDefault="008C7B2A" w:rsidP="008C7B2A">
            <w:pPr>
              <w:pStyle w:val="Tabele"/>
              <w:rPr>
                <w:szCs w:val="22"/>
              </w:rPr>
            </w:pPr>
            <w:r w:rsidRPr="00842B30">
              <w:rPr>
                <w:szCs w:val="22"/>
              </w:rPr>
              <w:t>Turbinë me avull (ST)</w:t>
            </w:r>
          </w:p>
        </w:tc>
        <w:tc>
          <w:tcPr>
            <w:tcW w:w="1548" w:type="dxa"/>
          </w:tcPr>
          <w:p w:rsidR="008C7B2A" w:rsidRPr="00842B30" w:rsidRDefault="008C7B2A" w:rsidP="008C7B2A">
            <w:pPr>
              <w:pStyle w:val="Tabele"/>
              <w:rPr>
                <w:szCs w:val="22"/>
              </w:rPr>
            </w:pPr>
            <w:r w:rsidRPr="00842B30">
              <w:rPr>
                <w:szCs w:val="22"/>
              </w:rPr>
              <w:t>Cikël i kombinuar (CCGT)</w:t>
            </w:r>
          </w:p>
        </w:tc>
        <w:tc>
          <w:tcPr>
            <w:tcW w:w="1548" w:type="dxa"/>
          </w:tcPr>
          <w:p w:rsidR="008C7B2A" w:rsidRPr="00842B30" w:rsidRDefault="008C7B2A" w:rsidP="008C7B2A">
            <w:pPr>
              <w:pStyle w:val="Tabele"/>
              <w:rPr>
                <w:szCs w:val="22"/>
              </w:rPr>
            </w:pPr>
            <w:r w:rsidRPr="00842B30">
              <w:rPr>
                <w:szCs w:val="22"/>
              </w:rPr>
              <w:t xml:space="preserve">Qu </w:t>
            </w:r>
            <w:r>
              <w:rPr>
                <w:szCs w:val="22"/>
              </w:rPr>
              <w:t>[</w:t>
            </w:r>
            <w:r w:rsidRPr="00842B30">
              <w:rPr>
                <w:szCs w:val="22"/>
              </w:rPr>
              <w:t>kJ/m</w:t>
            </w:r>
            <w:r w:rsidRPr="000548E2">
              <w:rPr>
                <w:szCs w:val="22"/>
                <w:vertAlign w:val="superscript"/>
              </w:rPr>
              <w:t xml:space="preserve">3 </w:t>
            </w:r>
            <w:r w:rsidRPr="00842B30">
              <w:rPr>
                <w:szCs w:val="22"/>
              </w:rPr>
              <w:t>N, kg]</w:t>
            </w:r>
          </w:p>
        </w:tc>
      </w:tr>
      <w:tr w:rsidR="008C7B2A" w:rsidRPr="00842B30">
        <w:trPr>
          <w:jc w:val="center"/>
        </w:trPr>
        <w:tc>
          <w:tcPr>
            <w:tcW w:w="1547" w:type="dxa"/>
          </w:tcPr>
          <w:p w:rsidR="008C7B2A" w:rsidRPr="00842B30" w:rsidRDefault="008C7B2A" w:rsidP="008C7B2A">
            <w:pPr>
              <w:pStyle w:val="Tabele"/>
              <w:rPr>
                <w:szCs w:val="22"/>
              </w:rPr>
            </w:pPr>
            <w:r w:rsidRPr="00842B30">
              <w:rPr>
                <w:szCs w:val="22"/>
              </w:rPr>
              <w:t xml:space="preserve">Gaz natyror </w:t>
            </w:r>
            <w:r>
              <w:rPr>
                <w:szCs w:val="22"/>
              </w:rPr>
              <w:t>[</w:t>
            </w:r>
            <w:r w:rsidRPr="00842B30">
              <w:rPr>
                <w:szCs w:val="22"/>
              </w:rPr>
              <w:t>m</w:t>
            </w:r>
            <w:r w:rsidRPr="000548E2">
              <w:rPr>
                <w:szCs w:val="22"/>
                <w:vertAlign w:val="superscript"/>
              </w:rPr>
              <w:t>3</w:t>
            </w:r>
            <w:r>
              <w:rPr>
                <w:szCs w:val="22"/>
              </w:rPr>
              <w:t xml:space="preserve"> </w:t>
            </w:r>
            <w:r w:rsidRPr="00842B30">
              <w:rPr>
                <w:szCs w:val="22"/>
              </w:rPr>
              <w:t>N/k Wh]</w:t>
            </w:r>
          </w:p>
        </w:tc>
        <w:tc>
          <w:tcPr>
            <w:tcW w:w="1547" w:type="dxa"/>
          </w:tcPr>
          <w:p w:rsidR="008C7B2A" w:rsidRPr="00842B30" w:rsidRDefault="008C7B2A" w:rsidP="008C7B2A">
            <w:pPr>
              <w:pStyle w:val="Tabele"/>
              <w:rPr>
                <w:szCs w:val="22"/>
              </w:rPr>
            </w:pPr>
            <w:r w:rsidRPr="00842B30">
              <w:rPr>
                <w:szCs w:val="22"/>
              </w:rPr>
              <w:t>0.2297</w:t>
            </w:r>
          </w:p>
        </w:tc>
        <w:tc>
          <w:tcPr>
            <w:tcW w:w="1548" w:type="dxa"/>
          </w:tcPr>
          <w:p w:rsidR="008C7B2A" w:rsidRPr="00842B30" w:rsidRDefault="008C7B2A" w:rsidP="008C7B2A">
            <w:pPr>
              <w:pStyle w:val="Tabele"/>
              <w:rPr>
                <w:szCs w:val="22"/>
              </w:rPr>
            </w:pPr>
            <w:r w:rsidRPr="00842B30">
              <w:rPr>
                <w:szCs w:val="22"/>
              </w:rPr>
              <w:t>0.2421</w:t>
            </w:r>
          </w:p>
        </w:tc>
        <w:tc>
          <w:tcPr>
            <w:tcW w:w="1548" w:type="dxa"/>
          </w:tcPr>
          <w:p w:rsidR="008C7B2A" w:rsidRPr="00842B30" w:rsidRDefault="008C7B2A" w:rsidP="008C7B2A">
            <w:pPr>
              <w:pStyle w:val="Tabele"/>
              <w:rPr>
                <w:szCs w:val="22"/>
              </w:rPr>
            </w:pPr>
            <w:r w:rsidRPr="00842B30">
              <w:rPr>
                <w:szCs w:val="22"/>
              </w:rPr>
              <w:t>0.2560</w:t>
            </w:r>
          </w:p>
        </w:tc>
        <w:tc>
          <w:tcPr>
            <w:tcW w:w="1548" w:type="dxa"/>
          </w:tcPr>
          <w:p w:rsidR="008C7B2A" w:rsidRPr="00842B30" w:rsidRDefault="008C7B2A" w:rsidP="008C7B2A">
            <w:pPr>
              <w:pStyle w:val="Tabele"/>
              <w:rPr>
                <w:szCs w:val="22"/>
              </w:rPr>
            </w:pPr>
            <w:r w:rsidRPr="00842B30">
              <w:rPr>
                <w:szCs w:val="22"/>
              </w:rPr>
              <w:t>0.1792</w:t>
            </w:r>
          </w:p>
        </w:tc>
        <w:tc>
          <w:tcPr>
            <w:tcW w:w="1548" w:type="dxa"/>
          </w:tcPr>
          <w:p w:rsidR="008C7B2A" w:rsidRPr="00842B30" w:rsidRDefault="008C7B2A" w:rsidP="008C7B2A">
            <w:pPr>
              <w:pStyle w:val="Tabele"/>
              <w:rPr>
                <w:szCs w:val="22"/>
              </w:rPr>
            </w:pPr>
            <w:r w:rsidRPr="00842B30">
              <w:rPr>
                <w:szCs w:val="22"/>
              </w:rPr>
              <w:t>40186</w:t>
            </w:r>
          </w:p>
        </w:tc>
      </w:tr>
      <w:tr w:rsidR="008C7B2A" w:rsidRPr="00842B30">
        <w:trPr>
          <w:jc w:val="center"/>
        </w:trPr>
        <w:tc>
          <w:tcPr>
            <w:tcW w:w="1547" w:type="dxa"/>
          </w:tcPr>
          <w:p w:rsidR="008C7B2A" w:rsidRPr="00842B30" w:rsidRDefault="008C7B2A" w:rsidP="008C7B2A">
            <w:pPr>
              <w:pStyle w:val="Tabele"/>
              <w:rPr>
                <w:szCs w:val="22"/>
              </w:rPr>
            </w:pPr>
            <w:r w:rsidRPr="00842B30">
              <w:rPr>
                <w:szCs w:val="22"/>
              </w:rPr>
              <w:t xml:space="preserve">Diezel </w:t>
            </w:r>
            <w:r>
              <w:rPr>
                <w:szCs w:val="22"/>
              </w:rPr>
              <w:t>[</w:t>
            </w:r>
            <w:r w:rsidRPr="00842B30">
              <w:rPr>
                <w:szCs w:val="22"/>
              </w:rPr>
              <w:t>gram/k Wh]</w:t>
            </w:r>
          </w:p>
        </w:tc>
        <w:tc>
          <w:tcPr>
            <w:tcW w:w="1547" w:type="dxa"/>
          </w:tcPr>
          <w:p w:rsidR="008C7B2A" w:rsidRPr="00842B30" w:rsidRDefault="008C7B2A" w:rsidP="008C7B2A">
            <w:pPr>
              <w:pStyle w:val="Tabele"/>
              <w:rPr>
                <w:szCs w:val="22"/>
              </w:rPr>
            </w:pPr>
            <w:r w:rsidRPr="00842B30">
              <w:rPr>
                <w:szCs w:val="22"/>
              </w:rPr>
              <w:t>232.4</w:t>
            </w:r>
          </w:p>
        </w:tc>
        <w:tc>
          <w:tcPr>
            <w:tcW w:w="1548" w:type="dxa"/>
          </w:tcPr>
          <w:p w:rsidR="008C7B2A" w:rsidRPr="00842B30" w:rsidRDefault="008C7B2A" w:rsidP="008C7B2A">
            <w:pPr>
              <w:pStyle w:val="Tabele"/>
              <w:rPr>
                <w:szCs w:val="22"/>
              </w:rPr>
            </w:pPr>
            <w:r w:rsidRPr="00842B30">
              <w:rPr>
                <w:szCs w:val="22"/>
              </w:rPr>
              <w:t>245.7</w:t>
            </w:r>
          </w:p>
        </w:tc>
        <w:tc>
          <w:tcPr>
            <w:tcW w:w="1548" w:type="dxa"/>
          </w:tcPr>
          <w:p w:rsidR="008C7B2A" w:rsidRPr="00842B30" w:rsidRDefault="008C7B2A" w:rsidP="008C7B2A">
            <w:pPr>
              <w:pStyle w:val="Tabele"/>
              <w:rPr>
                <w:szCs w:val="22"/>
              </w:rPr>
            </w:pPr>
            <w:r w:rsidRPr="00842B30">
              <w:rPr>
                <w:szCs w:val="22"/>
              </w:rPr>
              <w:t>252.9</w:t>
            </w:r>
          </w:p>
        </w:tc>
        <w:tc>
          <w:tcPr>
            <w:tcW w:w="1548" w:type="dxa"/>
          </w:tcPr>
          <w:p w:rsidR="008C7B2A" w:rsidRPr="00842B30" w:rsidRDefault="008C7B2A" w:rsidP="008C7B2A">
            <w:pPr>
              <w:pStyle w:val="Tabele"/>
              <w:rPr>
                <w:szCs w:val="22"/>
              </w:rPr>
            </w:pPr>
            <w:r w:rsidRPr="00842B30">
              <w:rPr>
                <w:szCs w:val="22"/>
              </w:rPr>
              <w:t>179.2</w:t>
            </w:r>
          </w:p>
        </w:tc>
        <w:tc>
          <w:tcPr>
            <w:tcW w:w="1548" w:type="dxa"/>
          </w:tcPr>
          <w:p w:rsidR="008C7B2A" w:rsidRPr="00842B30" w:rsidRDefault="008C7B2A" w:rsidP="008C7B2A">
            <w:pPr>
              <w:pStyle w:val="Tabele"/>
              <w:rPr>
                <w:szCs w:val="22"/>
              </w:rPr>
            </w:pPr>
            <w:r w:rsidRPr="00842B30">
              <w:rPr>
                <w:szCs w:val="22"/>
              </w:rPr>
              <w:t>41860</w:t>
            </w:r>
          </w:p>
        </w:tc>
      </w:tr>
      <w:tr w:rsidR="008C7B2A" w:rsidRPr="00842B30">
        <w:trPr>
          <w:jc w:val="center"/>
        </w:trPr>
        <w:tc>
          <w:tcPr>
            <w:tcW w:w="1547" w:type="dxa"/>
          </w:tcPr>
          <w:p w:rsidR="008C7B2A" w:rsidRPr="00842B30" w:rsidRDefault="008C7B2A" w:rsidP="008C7B2A">
            <w:pPr>
              <w:pStyle w:val="Tabele"/>
              <w:rPr>
                <w:szCs w:val="22"/>
              </w:rPr>
            </w:pPr>
            <w:r w:rsidRPr="00842B30">
              <w:rPr>
                <w:szCs w:val="22"/>
              </w:rPr>
              <w:t xml:space="preserve">Solar </w:t>
            </w:r>
            <w:r>
              <w:rPr>
                <w:szCs w:val="22"/>
              </w:rPr>
              <w:t>[</w:t>
            </w:r>
            <w:r w:rsidRPr="00842B30">
              <w:rPr>
                <w:szCs w:val="22"/>
              </w:rPr>
              <w:t>gram/k Wh]</w:t>
            </w:r>
          </w:p>
        </w:tc>
        <w:tc>
          <w:tcPr>
            <w:tcW w:w="1547" w:type="dxa"/>
          </w:tcPr>
          <w:p w:rsidR="008C7B2A" w:rsidRPr="00842B30" w:rsidRDefault="008C7B2A" w:rsidP="008C7B2A">
            <w:pPr>
              <w:pStyle w:val="Tabele"/>
              <w:rPr>
                <w:szCs w:val="22"/>
              </w:rPr>
            </w:pPr>
            <w:r w:rsidRPr="00842B30">
              <w:rPr>
                <w:szCs w:val="22"/>
              </w:rPr>
              <w:t>251.0</w:t>
            </w:r>
          </w:p>
        </w:tc>
        <w:tc>
          <w:tcPr>
            <w:tcW w:w="1548"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r w:rsidRPr="00842B30">
              <w:rPr>
                <w:szCs w:val="22"/>
              </w:rPr>
              <w:t>270.1</w:t>
            </w:r>
          </w:p>
        </w:tc>
        <w:tc>
          <w:tcPr>
            <w:tcW w:w="1548"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r w:rsidRPr="00842B30">
              <w:rPr>
                <w:szCs w:val="22"/>
              </w:rPr>
              <w:t>40395</w:t>
            </w:r>
          </w:p>
        </w:tc>
      </w:tr>
      <w:tr w:rsidR="008C7B2A" w:rsidRPr="00842B30">
        <w:trPr>
          <w:jc w:val="center"/>
        </w:trPr>
        <w:tc>
          <w:tcPr>
            <w:tcW w:w="1547" w:type="dxa"/>
          </w:tcPr>
          <w:p w:rsidR="008C7B2A" w:rsidRPr="00842B30" w:rsidRDefault="008C7B2A" w:rsidP="008C7B2A">
            <w:pPr>
              <w:pStyle w:val="Tabele"/>
              <w:rPr>
                <w:szCs w:val="22"/>
              </w:rPr>
            </w:pPr>
            <w:r w:rsidRPr="00842B30">
              <w:rPr>
                <w:szCs w:val="22"/>
              </w:rPr>
              <w:t xml:space="preserve">Mazut </w:t>
            </w:r>
            <w:r>
              <w:rPr>
                <w:szCs w:val="22"/>
              </w:rPr>
              <w:t>[</w:t>
            </w:r>
            <w:r w:rsidRPr="00842B30">
              <w:rPr>
                <w:szCs w:val="22"/>
              </w:rPr>
              <w:t>gram/k Wh]</w:t>
            </w:r>
          </w:p>
        </w:tc>
        <w:tc>
          <w:tcPr>
            <w:tcW w:w="1547"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r w:rsidRPr="00842B30">
              <w:rPr>
                <w:szCs w:val="22"/>
              </w:rPr>
              <w:t>292.1</w:t>
            </w:r>
          </w:p>
        </w:tc>
        <w:tc>
          <w:tcPr>
            <w:tcW w:w="1548"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r w:rsidRPr="00842B30">
              <w:rPr>
                <w:szCs w:val="22"/>
              </w:rPr>
              <w:t>38511</w:t>
            </w:r>
          </w:p>
        </w:tc>
      </w:tr>
      <w:tr w:rsidR="008C7B2A" w:rsidRPr="00842B30">
        <w:trPr>
          <w:jc w:val="center"/>
        </w:trPr>
        <w:tc>
          <w:tcPr>
            <w:tcW w:w="1547" w:type="dxa"/>
          </w:tcPr>
          <w:p w:rsidR="008C7B2A" w:rsidRPr="00842B30" w:rsidRDefault="008C7B2A" w:rsidP="008C7B2A">
            <w:pPr>
              <w:pStyle w:val="Tabele"/>
              <w:rPr>
                <w:szCs w:val="22"/>
              </w:rPr>
            </w:pPr>
            <w:r w:rsidRPr="00842B30">
              <w:rPr>
                <w:szCs w:val="22"/>
              </w:rPr>
              <w:t xml:space="preserve">Qymyr </w:t>
            </w:r>
            <w:r>
              <w:rPr>
                <w:szCs w:val="22"/>
              </w:rPr>
              <w:t>[</w:t>
            </w:r>
            <w:r w:rsidRPr="00842B30">
              <w:rPr>
                <w:szCs w:val="22"/>
              </w:rPr>
              <w:t>gram/k Wh]</w:t>
            </w:r>
          </w:p>
        </w:tc>
        <w:tc>
          <w:tcPr>
            <w:tcW w:w="1547"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r w:rsidRPr="00842B30">
              <w:rPr>
                <w:szCs w:val="22"/>
              </w:rPr>
              <w:t>770.6</w:t>
            </w:r>
          </w:p>
        </w:tc>
        <w:tc>
          <w:tcPr>
            <w:tcW w:w="1548" w:type="dxa"/>
          </w:tcPr>
          <w:p w:rsidR="008C7B2A" w:rsidRPr="00842B30" w:rsidRDefault="008C7B2A" w:rsidP="008C7B2A">
            <w:pPr>
              <w:pStyle w:val="Tabele"/>
              <w:rPr>
                <w:szCs w:val="22"/>
              </w:rPr>
            </w:pPr>
          </w:p>
        </w:tc>
        <w:tc>
          <w:tcPr>
            <w:tcW w:w="1548" w:type="dxa"/>
          </w:tcPr>
          <w:p w:rsidR="008C7B2A" w:rsidRPr="00842B30" w:rsidRDefault="008C7B2A" w:rsidP="008C7B2A">
            <w:pPr>
              <w:pStyle w:val="Tabele"/>
              <w:rPr>
                <w:szCs w:val="22"/>
              </w:rPr>
            </w:pPr>
            <w:r w:rsidRPr="00842B30">
              <w:rPr>
                <w:szCs w:val="22"/>
              </w:rPr>
              <w:t>15070</w:t>
            </w:r>
          </w:p>
        </w:tc>
      </w:tr>
    </w:tbl>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t xml:space="preserve">SHTOJCA </w:t>
      </w:r>
      <w:r>
        <w:rPr>
          <w:szCs w:val="22"/>
        </w:rPr>
        <w:t>Nr</w:t>
      </w:r>
      <w:r w:rsidRPr="00842B30">
        <w:rPr>
          <w:szCs w:val="22"/>
        </w:rPr>
        <w:t>.1</w:t>
      </w:r>
    </w:p>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t xml:space="preserve">FORMULA </w:t>
      </w:r>
      <w:smartTag w:uri="urn:schemas-microsoft-com:office:smarttags" w:element="place">
        <w:r w:rsidRPr="00842B30">
          <w:rPr>
            <w:szCs w:val="22"/>
          </w:rPr>
          <w:t>E LLOGARITJES</w:t>
        </w:r>
      </w:smartTag>
      <w:r w:rsidRPr="00842B30">
        <w:rPr>
          <w:szCs w:val="22"/>
        </w:rPr>
        <w:t xml:space="preserve"> SË VLERËS QË DO TË RIMBURSOHET</w:t>
      </w:r>
    </w:p>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lastRenderedPageBreak/>
        <w:t>Vr=Pel*Nt*Vld/100* (A%+D%+A%*D%)</w:t>
      </w:r>
    </w:p>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t>ku:</w:t>
      </w:r>
    </w:p>
    <w:p w:rsidR="008C7B2A" w:rsidRPr="00842B30" w:rsidRDefault="008C7B2A" w:rsidP="008C7B2A">
      <w:pPr>
        <w:pStyle w:val="Paragrafi"/>
        <w:rPr>
          <w:szCs w:val="22"/>
        </w:rPr>
      </w:pPr>
    </w:p>
    <w:p w:rsidR="008C7B2A" w:rsidRPr="00842B30" w:rsidRDefault="008C7B2A" w:rsidP="008C7B2A">
      <w:pPr>
        <w:pStyle w:val="Paragrafi"/>
        <w:rPr>
          <w:szCs w:val="22"/>
        </w:rPr>
      </w:pPr>
      <w:r w:rsidRPr="00842B30">
        <w:rPr>
          <w:szCs w:val="22"/>
        </w:rPr>
        <w:t>Vr-Vlera e rimbursimit të sasisë së lëndës djegëse për energjinë elektrike të shitur apo prodhuar (lekë/muaj)</w:t>
      </w:r>
    </w:p>
    <w:p w:rsidR="008C7B2A" w:rsidRPr="00842B30" w:rsidRDefault="008C7B2A" w:rsidP="008C7B2A">
      <w:pPr>
        <w:pStyle w:val="Paragrafi"/>
        <w:rPr>
          <w:szCs w:val="22"/>
        </w:rPr>
      </w:pPr>
      <w:r w:rsidRPr="00842B30">
        <w:rPr>
          <w:szCs w:val="22"/>
        </w:rPr>
        <w:t>Pel-Energjia elektrike e shitur apo prodhuar, sipas pikave 6 e 7 të këtij vendimi (kWh/muaj).</w:t>
      </w:r>
    </w:p>
    <w:p w:rsidR="008C7B2A" w:rsidRPr="00842B30" w:rsidRDefault="008C7B2A" w:rsidP="008C7B2A">
      <w:pPr>
        <w:pStyle w:val="Paragrafi"/>
        <w:rPr>
          <w:szCs w:val="22"/>
        </w:rPr>
      </w:pPr>
      <w:r w:rsidRPr="00842B30">
        <w:rPr>
          <w:szCs w:val="22"/>
        </w:rPr>
        <w:t>Nt-Konsumi specifik i lëndës djegëse për prodhimin e energjisë elektrike (gram,m</w:t>
      </w:r>
      <w:r w:rsidRPr="006D3BB9">
        <w:rPr>
          <w:szCs w:val="22"/>
          <w:vertAlign w:val="superscript"/>
        </w:rPr>
        <w:t>3</w:t>
      </w:r>
      <w:r w:rsidRPr="00842B30">
        <w:rPr>
          <w:szCs w:val="22"/>
        </w:rPr>
        <w:t xml:space="preserve"> N/kWh).</w:t>
      </w:r>
    </w:p>
    <w:p w:rsidR="008C7B2A" w:rsidRPr="00842B30" w:rsidRDefault="008C7B2A" w:rsidP="008C7B2A">
      <w:pPr>
        <w:pStyle w:val="Paragrafi"/>
        <w:rPr>
          <w:szCs w:val="22"/>
        </w:rPr>
      </w:pPr>
      <w:r w:rsidRPr="00842B30">
        <w:rPr>
          <w:szCs w:val="22"/>
        </w:rPr>
        <w:t>Vld-Vlera doganore e mallit, lëndës djegëse sipas deklaratës doganore përkatëse.</w:t>
      </w:r>
    </w:p>
    <w:p w:rsidR="008C7B2A" w:rsidRPr="00842B30" w:rsidRDefault="008C7B2A" w:rsidP="008C7B2A">
      <w:pPr>
        <w:pStyle w:val="Paragrafi"/>
        <w:rPr>
          <w:szCs w:val="22"/>
        </w:rPr>
      </w:pPr>
      <w:r w:rsidRPr="00842B30">
        <w:rPr>
          <w:szCs w:val="22"/>
        </w:rPr>
        <w:t>A%-Taksa e akcizës e shprehur me përqindje, sipas llojit të lëndës djegëse dhe e përcaktuar sipas ligjit nr.8437, datë 28.12.1998 "Për akcizat".</w:t>
      </w:r>
    </w:p>
    <w:p w:rsidR="008C7B2A" w:rsidRPr="00842B30" w:rsidRDefault="008C7B2A" w:rsidP="008C7B2A">
      <w:pPr>
        <w:pStyle w:val="Paragrafi"/>
        <w:rPr>
          <w:szCs w:val="22"/>
        </w:rPr>
      </w:pPr>
      <w:r w:rsidRPr="00842B30">
        <w:rPr>
          <w:szCs w:val="22"/>
        </w:rPr>
        <w:t xml:space="preserve">D%-Taksa doganore e shprehur në përqindje, sipas llojit të lëndës djegëse dhe e përcaktuar sipas ligjit nr.8981, datë 12.12.2002 "Për miratimin e niveleve të tarifave doganore". </w:t>
      </w:r>
    </w:p>
    <w:p w:rsidR="008C7B2A" w:rsidRDefault="008C7B2A" w:rsidP="008C7B2A">
      <w:pPr>
        <w:pStyle w:val="Akti"/>
      </w:pPr>
    </w:p>
    <w:p w:rsidR="008C7B2A" w:rsidRDefault="008C7B2A" w:rsidP="008C7B2A">
      <w:pPr>
        <w:pStyle w:val="Akti"/>
      </w:pPr>
    </w:p>
    <w:p w:rsidR="008C7B2A" w:rsidRDefault="008C7B2A" w:rsidP="008C7B2A">
      <w:pPr>
        <w:pStyle w:val="Akti"/>
      </w:pPr>
    </w:p>
    <w:p w:rsidR="008C7B2A" w:rsidRDefault="008C7B2A" w:rsidP="008C7B2A">
      <w:pPr>
        <w:pStyle w:val="Akti"/>
        <w:keepNext w:val="0"/>
      </w:pPr>
    </w:p>
    <w:p w:rsidR="008C7B2A" w:rsidRDefault="008C7B2A" w:rsidP="008C7B2A">
      <w:pPr>
        <w:pStyle w:val="Akti"/>
        <w:keepNext w:val="0"/>
      </w:pPr>
    </w:p>
    <w:p w:rsidR="008C7B2A" w:rsidRDefault="008C7B2A" w:rsidP="008C7B2A">
      <w:pPr>
        <w:pStyle w:val="Akti"/>
        <w:keepNext w:val="0"/>
      </w:pPr>
    </w:p>
    <w:p w:rsidR="008C7B2A" w:rsidRDefault="008C7B2A" w:rsidP="008C7B2A">
      <w:pPr>
        <w:pStyle w:val="Akti"/>
        <w:keepNext w:val="0"/>
      </w:pPr>
    </w:p>
    <w:p w:rsidR="008C7B2A" w:rsidRDefault="008C7B2A" w:rsidP="008C7B2A">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7F556E"/>
    <w:rsid w:val="0080475E"/>
    <w:rsid w:val="008072B9"/>
    <w:rsid w:val="00841EC5"/>
    <w:rsid w:val="008521B4"/>
    <w:rsid w:val="008656D4"/>
    <w:rsid w:val="00872000"/>
    <w:rsid w:val="00881600"/>
    <w:rsid w:val="008C7B2A"/>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AEEDBFC6-CB7B-44BE-8F1D-7D951DC5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B2A"/>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BazLigjPropozuesChar">
    <w:name w:val="Baz_Ligj_Propozues Char"/>
    <w:basedOn w:val="DefaultParagraphFont"/>
    <w:link w:val="BazLigjPropozues"/>
    <w:rsid w:val="008C7B2A"/>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2019-03-14T17:32:00Z</dcterms:created>
  <dcterms:modified xsi:type="dcterms:W3CDTF">2019-03-14T17:32:00Z</dcterms:modified>
</cp:coreProperties>
</file>