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C28" w:rsidRDefault="00174C28" w:rsidP="00174C28">
      <w:pPr>
        <w:pStyle w:val="Akti"/>
        <w:keepNext w:val="0"/>
      </w:pPr>
      <w:bookmarkStart w:id="0" w:name="_GoBack"/>
      <w:bookmarkEnd w:id="0"/>
      <w:r>
        <w:t>Vendim</w:t>
      </w:r>
    </w:p>
    <w:p w:rsidR="00174C28" w:rsidRDefault="00174C28" w:rsidP="00174C28">
      <w:pPr>
        <w:pStyle w:val="NumriData"/>
        <w:keepNext w:val="0"/>
      </w:pPr>
      <w:r>
        <w:t>Nr.814, datë 3.12.2004</w:t>
      </w:r>
    </w:p>
    <w:p w:rsidR="00174C28" w:rsidRDefault="00174C28" w:rsidP="00174C28">
      <w:pPr>
        <w:pStyle w:val="Paragrafi"/>
      </w:pPr>
    </w:p>
    <w:p w:rsidR="00174C28" w:rsidRDefault="00174C28" w:rsidP="00174C28">
      <w:pPr>
        <w:pStyle w:val="Titulli"/>
        <w:keepNext w:val="0"/>
      </w:pPr>
      <w:r>
        <w:t>Për normat e strehimit për familjet që përfitojnë nga programet sociale të strehimit</w:t>
      </w:r>
    </w:p>
    <w:p w:rsidR="00174C28" w:rsidRDefault="00174C28" w:rsidP="00174C28">
      <w:pPr>
        <w:pStyle w:val="Paragrafi"/>
      </w:pPr>
    </w:p>
    <w:p w:rsidR="00174C28" w:rsidRDefault="00174C28" w:rsidP="00174C28">
      <w:pPr>
        <w:pStyle w:val="BazLigjPropozues"/>
        <w:keepNext w:val="0"/>
      </w:pPr>
      <w:r>
        <w:t>Në mbështetje të nenit 100 të Kushtetutës dhe të neneve 4, 17 e 18 të ligjit nr.9232, datë 13.5.2004 “Për programet sociale të strehimit të banorëve të zonave urbane”, me propozimin e Ministrit të Rregullimit të Territorit dhe të Turizmit, Këshilli i Ministrave</w:t>
      </w:r>
    </w:p>
    <w:p w:rsidR="00174C28" w:rsidRDefault="00174C28" w:rsidP="00174C28">
      <w:pPr>
        <w:pStyle w:val="Paragrafi"/>
      </w:pPr>
    </w:p>
    <w:p w:rsidR="00174C28" w:rsidRDefault="00174C28" w:rsidP="00174C28">
      <w:pPr>
        <w:pStyle w:val="VENDOSI"/>
      </w:pPr>
      <w:r>
        <w:t>Vendosi:</w:t>
      </w:r>
    </w:p>
    <w:p w:rsidR="00174C28" w:rsidRDefault="00174C28" w:rsidP="00174C28">
      <w:pPr>
        <w:pStyle w:val="Paragrafi"/>
      </w:pPr>
    </w:p>
    <w:p w:rsidR="00174C28" w:rsidRDefault="00174C28" w:rsidP="00174C28">
      <w:pPr>
        <w:pStyle w:val="Paragrafi"/>
      </w:pPr>
      <w:r>
        <w:t>1. Normat e strehimit për familjet që përfitojnë nga programet sociale të strehimit, përfshijnë:</w:t>
      </w:r>
    </w:p>
    <w:p w:rsidR="00174C28" w:rsidRDefault="00174C28" w:rsidP="00174C28">
      <w:pPr>
        <w:pStyle w:val="Paragrafi"/>
      </w:pPr>
      <w:r>
        <w:t>a) sipërfaqen minimale të banimit që i takon një personi;</w:t>
      </w:r>
    </w:p>
    <w:p w:rsidR="00174C28" w:rsidRDefault="00174C28" w:rsidP="00174C28">
      <w:pPr>
        <w:pStyle w:val="Paragrafi"/>
      </w:pPr>
      <w:r>
        <w:t>b) numrin e personave për çdo dhomë të banuar.</w:t>
      </w:r>
    </w:p>
    <w:p w:rsidR="00174C28" w:rsidRDefault="00174C28" w:rsidP="00174C28">
      <w:pPr>
        <w:pStyle w:val="Paragrafi"/>
      </w:pPr>
      <w:r>
        <w:t>2. Sipërfaqja minimale e banimit, që i takon një personi të vetëm, sipas shkronjës “a” të pikës 1 të këtij vendimi, është 12.5 m</w:t>
      </w:r>
      <w:r w:rsidRPr="00C215FB">
        <w:rPr>
          <w:vertAlign w:val="superscript"/>
        </w:rPr>
        <w:t>2</w:t>
      </w:r>
      <w:r>
        <w:t>. Çdo personi tjetër shtesë mbi të parin, me moshë mbi 10 vjeç, i takon 7.5 m</w:t>
      </w:r>
      <w:r w:rsidRPr="00C215FB">
        <w:rPr>
          <w:vertAlign w:val="superscript"/>
        </w:rPr>
        <w:t>2</w:t>
      </w:r>
      <w:r>
        <w:t xml:space="preserve"> sipërfaqe banimi, ndërsa çdo personi tjetër shtesë me moshë nga 5 vjeç deri në 10 vjeç i takon 3.75 m</w:t>
      </w:r>
      <w:r w:rsidRPr="00C215FB">
        <w:rPr>
          <w:vertAlign w:val="superscript"/>
        </w:rPr>
        <w:t>2</w:t>
      </w:r>
      <w:r>
        <w:t xml:space="preserve"> sipërfaqe banimi.</w:t>
      </w:r>
    </w:p>
    <w:p w:rsidR="00174C28" w:rsidRDefault="00174C28" w:rsidP="00174C28">
      <w:pPr>
        <w:pStyle w:val="Paragrafi"/>
      </w:pPr>
      <w:r>
        <w:t>Fëmijët nën moshën 5 vjeç nuk llogariten për efekt të përfitimit të sipërfaqes së banimit.</w:t>
      </w:r>
    </w:p>
    <w:p w:rsidR="00174C28" w:rsidRDefault="00174C28" w:rsidP="00174C28">
      <w:pPr>
        <w:pStyle w:val="Paragrafi"/>
      </w:pPr>
      <w:r>
        <w:t>Kur blihen apartamente në treg, për t’u përdorur si banesa sociale me qira ose si banesa me kosto të ulët, sipërfaqja që i takon çdo personi shtesë mbi të parin mund të rritet deri në masën 15 për qind për strukturën e apartamentit që i takon familjes, sipas pikës 5 të këtij vendimi. Familjet që do të trajtohen me banesa me kosto të ulët, të blera në treg me norma më të larta se ato të përcaktura në këtë pikë, të paguajnë, në mënyrë të menjëhershme, diferencën e kostos së sipërfaqes së tepërt, sipas udhëzimit të Ministrit të Rregullimit të Territorit dhe të Turizmit.</w:t>
      </w:r>
    </w:p>
    <w:p w:rsidR="00174C28" w:rsidRDefault="00174C28" w:rsidP="00174C28">
      <w:pPr>
        <w:pStyle w:val="Paragrafi"/>
      </w:pPr>
      <w:r>
        <w:t>3. Individët me aftësi të kufizuar, të deklaruar nga komisionet përkatëse, që trajtohen sipas shkronjës “d” të nenit 5 të ligjit nr.9232, datë 13.5.2004 “Për programet sociale të strehimit të banorëve të zonave urbane”, të cilët kanë nevojë për përkujdesje, sipas ligjeve përkatëse, ku trajtohet statusi i tyre, përfitojnë 12.5m</w:t>
      </w:r>
      <w:r w:rsidRPr="00C215FB">
        <w:rPr>
          <w:vertAlign w:val="superscript"/>
        </w:rPr>
        <w:t>2</w:t>
      </w:r>
      <w:r>
        <w:t xml:space="preserve"> sipërfaqe banimi, e cila të jetë dhomë më vete.</w:t>
      </w:r>
    </w:p>
    <w:p w:rsidR="00174C28" w:rsidRDefault="00174C28" w:rsidP="00174C28">
      <w:pPr>
        <w:pStyle w:val="Paragrafi"/>
      </w:pPr>
      <w:r>
        <w:t>4. Përfitojnë dhomë më vete fëmijët me moshë mbi 10 vjeç, të sekseve të ndryshme.</w:t>
      </w:r>
    </w:p>
    <w:p w:rsidR="00174C28" w:rsidRDefault="00174C28" w:rsidP="00174C28">
      <w:pPr>
        <w:pStyle w:val="Paragrafi"/>
      </w:pPr>
      <w:r>
        <w:t>5. Numri i personave për dhomë të banuar dhe sipërfaqet korresponduese përcaktohen në tabelën që i bashkëlidhet këtij vendimi.</w:t>
      </w:r>
    </w:p>
    <w:p w:rsidR="00174C28" w:rsidRDefault="00174C28" w:rsidP="00174C28">
      <w:pPr>
        <w:pStyle w:val="Paragrafi"/>
      </w:pPr>
      <w:r>
        <w:t>6. Normat e projektimit për sipërfaqet e banimit, të parashikuara në vendimin nr.567, datë 6.12.1993 të Këshillit të Ministrave “Për normat e projektimit të banesave”, nuk zbatohen për banesat që përdoren për programet sociale të strehimit.</w:t>
      </w:r>
    </w:p>
    <w:p w:rsidR="00174C28" w:rsidRDefault="00174C28" w:rsidP="00174C28">
      <w:pPr>
        <w:pStyle w:val="Paragrafi"/>
      </w:pPr>
      <w:r>
        <w:t>7. Vendimi nr.113, datë 20.1.1997 i Këshillit të Ministrave “Për normat e strehimit në banesat  që ndërtohen me fondet publike”, shfuqizohet.</w:t>
      </w:r>
    </w:p>
    <w:p w:rsidR="00174C28" w:rsidRDefault="00174C28" w:rsidP="00174C28">
      <w:pPr>
        <w:pStyle w:val="Paragrafi"/>
      </w:pPr>
      <w:r>
        <w:t>8. Ngarkohen bashkitë dhe të gjitha institucionet, që sigurojnë banesa sociale me qira ose banesa me kosto të ulët, për zbatimin e këtij vendimi.</w:t>
      </w:r>
    </w:p>
    <w:p w:rsidR="00174C28" w:rsidRDefault="00174C28" w:rsidP="00174C28">
      <w:pPr>
        <w:pStyle w:val="Paragrafi"/>
      </w:pPr>
      <w:r>
        <w:t>Ky vendim hyn në fuqi pas botimit në Fletoren Zyrtare.</w:t>
      </w:r>
    </w:p>
    <w:p w:rsidR="00174C28" w:rsidRDefault="00174C28" w:rsidP="00174C28">
      <w:pPr>
        <w:pStyle w:val="Paragrafi"/>
      </w:pPr>
    </w:p>
    <w:p w:rsidR="00174C28" w:rsidRDefault="00174C28" w:rsidP="00174C28">
      <w:pPr>
        <w:pStyle w:val="Autoriteti"/>
        <w:keepNext w:val="0"/>
      </w:pPr>
      <w:r>
        <w:t>Kryeministri</w:t>
      </w:r>
    </w:p>
    <w:p w:rsidR="00174C28" w:rsidRPr="00AA3124" w:rsidRDefault="00174C28" w:rsidP="00174C28">
      <w:pPr>
        <w:pStyle w:val="AutoritetiEmer"/>
      </w:pPr>
      <w:r>
        <w:t>Fatos Nano</w:t>
      </w:r>
    </w:p>
    <w:p w:rsidR="00174C28" w:rsidRDefault="00174C28" w:rsidP="00174C28">
      <w:pPr>
        <w:pStyle w:val="Akti"/>
        <w:keepNext w:val="0"/>
      </w:pPr>
    </w:p>
    <w:p w:rsidR="00174C28" w:rsidRDefault="00174C28" w:rsidP="00174C28">
      <w:pPr>
        <w:pStyle w:val="Akti"/>
        <w:keepNext w:val="0"/>
      </w:pPr>
    </w:p>
    <w:p w:rsidR="00174C28" w:rsidRDefault="00174C28" w:rsidP="00174C28">
      <w:pPr>
        <w:pStyle w:val="Akti"/>
        <w:keepNext w:val="0"/>
      </w:pPr>
    </w:p>
    <w:p w:rsidR="00174C28" w:rsidRDefault="00174C28" w:rsidP="00174C28">
      <w:pPr>
        <w:pStyle w:val="Akti"/>
        <w:keepNext w:val="0"/>
      </w:pPr>
    </w:p>
    <w:p w:rsidR="00174C28" w:rsidRDefault="00174C28" w:rsidP="00174C28">
      <w:pPr>
        <w:pStyle w:val="Akti"/>
        <w:keepNext w:val="0"/>
      </w:pPr>
    </w:p>
    <w:p w:rsidR="00174C28" w:rsidRDefault="00174C28" w:rsidP="00174C28">
      <w:pPr>
        <w:pStyle w:val="Akti"/>
        <w:keepNext w:val="0"/>
      </w:pPr>
    </w:p>
    <w:p w:rsidR="00174C28" w:rsidRDefault="00174C28" w:rsidP="00174C28">
      <w:pPr>
        <w:pStyle w:val="Akti"/>
        <w:keepNext w:val="0"/>
      </w:pPr>
    </w:p>
    <w:p w:rsidR="00174C28" w:rsidRDefault="00174C28" w:rsidP="00174C28">
      <w:pPr>
        <w:pStyle w:val="Paragrafi"/>
      </w:pPr>
    </w:p>
    <w:p w:rsidR="00174C28" w:rsidRDefault="00174C28" w:rsidP="00174C28">
      <w:pPr>
        <w:pStyle w:val="Paragrafi"/>
      </w:pPr>
      <w:r w:rsidRPr="009E00E3">
        <w:t>Tabela</w:t>
      </w:r>
    </w:p>
    <w:p w:rsidR="00174C28" w:rsidRPr="009E00E3" w:rsidRDefault="00174C28" w:rsidP="00174C28">
      <w:pPr>
        <w:pStyle w:val="Paragrafi"/>
      </w:pPr>
    </w:p>
    <w:tbl>
      <w:tblPr>
        <w:tblStyle w:val="TableGrid"/>
        <w:tblW w:w="9828" w:type="dxa"/>
        <w:jc w:val="center"/>
        <w:tblLook w:val="01E0" w:firstRow="1" w:lastRow="1" w:firstColumn="1" w:lastColumn="1" w:noHBand="0" w:noVBand="0"/>
      </w:tblPr>
      <w:tblGrid>
        <w:gridCol w:w="2168"/>
        <w:gridCol w:w="777"/>
        <w:gridCol w:w="1022"/>
        <w:gridCol w:w="768"/>
        <w:gridCol w:w="1224"/>
        <w:gridCol w:w="1080"/>
        <w:gridCol w:w="900"/>
        <w:gridCol w:w="900"/>
        <w:gridCol w:w="989"/>
      </w:tblGrid>
      <w:tr w:rsidR="00174C28">
        <w:trPr>
          <w:jc w:val="center"/>
        </w:trPr>
        <w:tc>
          <w:tcPr>
            <w:tcW w:w="2168" w:type="dxa"/>
          </w:tcPr>
          <w:p w:rsidR="00174C28" w:rsidRDefault="00174C28" w:rsidP="00174C28">
            <w:pPr>
              <w:pStyle w:val="Tabele"/>
              <w:jc w:val="center"/>
            </w:pPr>
            <w:r>
              <w:t xml:space="preserve">Struktura e </w:t>
            </w:r>
            <w:r>
              <w:lastRenderedPageBreak/>
              <w:t>apartamentit</w:t>
            </w:r>
          </w:p>
        </w:tc>
        <w:tc>
          <w:tcPr>
            <w:tcW w:w="1799" w:type="dxa"/>
            <w:gridSpan w:val="2"/>
          </w:tcPr>
          <w:p w:rsidR="00174C28" w:rsidRDefault="00174C28" w:rsidP="00174C28">
            <w:pPr>
              <w:pStyle w:val="Tabele"/>
              <w:jc w:val="center"/>
            </w:pPr>
            <w:r>
              <w:lastRenderedPageBreak/>
              <w:t>Garsoniere</w:t>
            </w:r>
          </w:p>
        </w:tc>
        <w:tc>
          <w:tcPr>
            <w:tcW w:w="1992" w:type="dxa"/>
            <w:gridSpan w:val="2"/>
          </w:tcPr>
          <w:p w:rsidR="00174C28" w:rsidRDefault="00174C28" w:rsidP="00174C28">
            <w:pPr>
              <w:pStyle w:val="Tabele"/>
              <w:jc w:val="center"/>
            </w:pPr>
            <w:r>
              <w:t>1+1</w:t>
            </w:r>
          </w:p>
        </w:tc>
        <w:tc>
          <w:tcPr>
            <w:tcW w:w="1980" w:type="dxa"/>
            <w:gridSpan w:val="2"/>
          </w:tcPr>
          <w:p w:rsidR="00174C28" w:rsidRDefault="00174C28" w:rsidP="00174C28">
            <w:pPr>
              <w:pStyle w:val="Tabele"/>
              <w:jc w:val="center"/>
            </w:pPr>
            <w:r>
              <w:t>2+1</w:t>
            </w:r>
          </w:p>
        </w:tc>
        <w:tc>
          <w:tcPr>
            <w:tcW w:w="1889" w:type="dxa"/>
            <w:gridSpan w:val="2"/>
          </w:tcPr>
          <w:p w:rsidR="00174C28" w:rsidRDefault="00174C28" w:rsidP="00174C28">
            <w:pPr>
              <w:pStyle w:val="Tabele"/>
              <w:jc w:val="center"/>
            </w:pPr>
            <w:r>
              <w:t>3+1</w:t>
            </w:r>
          </w:p>
        </w:tc>
      </w:tr>
      <w:tr w:rsidR="00174C28">
        <w:trPr>
          <w:jc w:val="center"/>
        </w:trPr>
        <w:tc>
          <w:tcPr>
            <w:tcW w:w="2168" w:type="dxa"/>
          </w:tcPr>
          <w:p w:rsidR="00174C28" w:rsidRDefault="00174C28" w:rsidP="00174C28">
            <w:pPr>
              <w:pStyle w:val="Tabele"/>
              <w:jc w:val="center"/>
            </w:pPr>
            <w:r w:rsidRPr="00CB15F5">
              <w:rPr>
                <w:sz w:val="20"/>
              </w:rPr>
              <w:lastRenderedPageBreak/>
              <w:t xml:space="preserve">Nr. i personave/apartament </w:t>
            </w:r>
          </w:p>
        </w:tc>
        <w:tc>
          <w:tcPr>
            <w:tcW w:w="777" w:type="dxa"/>
          </w:tcPr>
          <w:p w:rsidR="00174C28" w:rsidRDefault="00174C28" w:rsidP="00174C28">
            <w:pPr>
              <w:pStyle w:val="Tabele"/>
              <w:jc w:val="center"/>
            </w:pPr>
            <w:r>
              <w:t>Min.1</w:t>
            </w:r>
          </w:p>
        </w:tc>
        <w:tc>
          <w:tcPr>
            <w:tcW w:w="1022" w:type="dxa"/>
          </w:tcPr>
          <w:p w:rsidR="00174C28" w:rsidRDefault="00174C28" w:rsidP="00174C28">
            <w:pPr>
              <w:pStyle w:val="Tabele"/>
              <w:jc w:val="center"/>
            </w:pPr>
            <w:r>
              <w:t>Max..2</w:t>
            </w:r>
          </w:p>
        </w:tc>
        <w:tc>
          <w:tcPr>
            <w:tcW w:w="768" w:type="dxa"/>
          </w:tcPr>
          <w:p w:rsidR="00174C28" w:rsidRDefault="00174C28" w:rsidP="00174C28">
            <w:pPr>
              <w:pStyle w:val="Tabele"/>
              <w:jc w:val="center"/>
            </w:pPr>
            <w:r>
              <w:t>Min.2</w:t>
            </w:r>
          </w:p>
        </w:tc>
        <w:tc>
          <w:tcPr>
            <w:tcW w:w="1224" w:type="dxa"/>
          </w:tcPr>
          <w:p w:rsidR="00174C28" w:rsidRDefault="00174C28" w:rsidP="00174C28">
            <w:pPr>
              <w:pStyle w:val="Tabele"/>
              <w:jc w:val="center"/>
            </w:pPr>
            <w:r>
              <w:t>Max.3</w:t>
            </w:r>
          </w:p>
        </w:tc>
        <w:tc>
          <w:tcPr>
            <w:tcW w:w="1080" w:type="dxa"/>
          </w:tcPr>
          <w:p w:rsidR="00174C28" w:rsidRDefault="00174C28" w:rsidP="00174C28">
            <w:pPr>
              <w:pStyle w:val="Tabele"/>
              <w:jc w:val="center"/>
            </w:pPr>
            <w:r>
              <w:t>Min.3</w:t>
            </w:r>
          </w:p>
        </w:tc>
        <w:tc>
          <w:tcPr>
            <w:tcW w:w="900" w:type="dxa"/>
          </w:tcPr>
          <w:p w:rsidR="00174C28" w:rsidRDefault="00174C28" w:rsidP="00174C28">
            <w:pPr>
              <w:pStyle w:val="Tabele"/>
              <w:jc w:val="center"/>
            </w:pPr>
            <w:r>
              <w:t>Max.4</w:t>
            </w:r>
          </w:p>
        </w:tc>
        <w:tc>
          <w:tcPr>
            <w:tcW w:w="900" w:type="dxa"/>
          </w:tcPr>
          <w:p w:rsidR="00174C28" w:rsidRDefault="00174C28" w:rsidP="00174C28">
            <w:pPr>
              <w:pStyle w:val="Tabele"/>
              <w:jc w:val="center"/>
            </w:pPr>
            <w:r>
              <w:t>Min.4</w:t>
            </w:r>
          </w:p>
        </w:tc>
        <w:tc>
          <w:tcPr>
            <w:tcW w:w="989" w:type="dxa"/>
          </w:tcPr>
          <w:p w:rsidR="00174C28" w:rsidRDefault="00174C28" w:rsidP="00174C28">
            <w:pPr>
              <w:pStyle w:val="Tabele"/>
              <w:jc w:val="center"/>
            </w:pPr>
            <w:r>
              <w:t>Max.6</w:t>
            </w:r>
          </w:p>
        </w:tc>
      </w:tr>
      <w:tr w:rsidR="00174C28" w:rsidRPr="00CB15F5">
        <w:trPr>
          <w:jc w:val="center"/>
        </w:trPr>
        <w:tc>
          <w:tcPr>
            <w:tcW w:w="2168" w:type="dxa"/>
          </w:tcPr>
          <w:p w:rsidR="00174C28" w:rsidRPr="00CB15F5" w:rsidRDefault="00174C28" w:rsidP="00174C28">
            <w:pPr>
              <w:pStyle w:val="Tabele"/>
              <w:jc w:val="center"/>
              <w:rPr>
                <w:sz w:val="20"/>
              </w:rPr>
            </w:pPr>
            <w:r>
              <w:rPr>
                <w:sz w:val="20"/>
              </w:rPr>
              <w:t>Sipërfaqja e banimit (m</w:t>
            </w:r>
            <w:r w:rsidRPr="00281265">
              <w:rPr>
                <w:sz w:val="20"/>
                <w:vertAlign w:val="superscript"/>
              </w:rPr>
              <w:t>2</w:t>
            </w:r>
            <w:r>
              <w:rPr>
                <w:sz w:val="20"/>
              </w:rPr>
              <w:t>)</w:t>
            </w:r>
          </w:p>
        </w:tc>
        <w:tc>
          <w:tcPr>
            <w:tcW w:w="777" w:type="dxa"/>
          </w:tcPr>
          <w:p w:rsidR="00174C28" w:rsidRPr="00CB15F5" w:rsidRDefault="00174C28" w:rsidP="00174C28">
            <w:pPr>
              <w:pStyle w:val="Tabele"/>
              <w:rPr>
                <w:sz w:val="20"/>
              </w:rPr>
            </w:pPr>
            <w:r w:rsidRPr="00CB15F5">
              <w:rPr>
                <w:sz w:val="20"/>
              </w:rPr>
              <w:t>12.5</w:t>
            </w:r>
          </w:p>
        </w:tc>
        <w:tc>
          <w:tcPr>
            <w:tcW w:w="1022" w:type="dxa"/>
          </w:tcPr>
          <w:p w:rsidR="00174C28" w:rsidRPr="00CB15F5" w:rsidRDefault="00174C28" w:rsidP="00174C28">
            <w:pPr>
              <w:pStyle w:val="Tabele"/>
              <w:rPr>
                <w:sz w:val="20"/>
              </w:rPr>
            </w:pPr>
            <w:r w:rsidRPr="00CB15F5">
              <w:rPr>
                <w:sz w:val="20"/>
              </w:rPr>
              <w:t>20-21</w:t>
            </w:r>
          </w:p>
        </w:tc>
        <w:tc>
          <w:tcPr>
            <w:tcW w:w="768" w:type="dxa"/>
          </w:tcPr>
          <w:p w:rsidR="00174C28" w:rsidRPr="00CB15F5" w:rsidRDefault="00174C28" w:rsidP="00174C28">
            <w:pPr>
              <w:pStyle w:val="Tabele"/>
              <w:rPr>
                <w:sz w:val="20"/>
              </w:rPr>
            </w:pPr>
            <w:r w:rsidRPr="00CB15F5">
              <w:rPr>
                <w:sz w:val="20"/>
              </w:rPr>
              <w:t>20-21</w:t>
            </w:r>
          </w:p>
        </w:tc>
        <w:tc>
          <w:tcPr>
            <w:tcW w:w="1224" w:type="dxa"/>
          </w:tcPr>
          <w:p w:rsidR="00174C28" w:rsidRPr="00CB15F5" w:rsidRDefault="00174C28" w:rsidP="00174C28">
            <w:pPr>
              <w:pStyle w:val="Tabele"/>
              <w:rPr>
                <w:sz w:val="20"/>
              </w:rPr>
            </w:pPr>
            <w:r w:rsidRPr="00CB15F5">
              <w:rPr>
                <w:sz w:val="20"/>
              </w:rPr>
              <w:t>27,5-29,75</w:t>
            </w:r>
          </w:p>
        </w:tc>
        <w:tc>
          <w:tcPr>
            <w:tcW w:w="1080" w:type="dxa"/>
          </w:tcPr>
          <w:p w:rsidR="00174C28" w:rsidRPr="00CB15F5" w:rsidRDefault="00174C28" w:rsidP="00174C28">
            <w:pPr>
              <w:pStyle w:val="Tabele"/>
              <w:rPr>
                <w:sz w:val="20"/>
              </w:rPr>
            </w:pPr>
            <w:r w:rsidRPr="00CB15F5">
              <w:rPr>
                <w:sz w:val="20"/>
              </w:rPr>
              <w:t>27,5-29,5</w:t>
            </w:r>
          </w:p>
        </w:tc>
        <w:tc>
          <w:tcPr>
            <w:tcW w:w="900" w:type="dxa"/>
          </w:tcPr>
          <w:p w:rsidR="00174C28" w:rsidRPr="00CB15F5" w:rsidRDefault="00174C28" w:rsidP="00174C28">
            <w:pPr>
              <w:pStyle w:val="Tabele"/>
              <w:rPr>
                <w:sz w:val="20"/>
              </w:rPr>
            </w:pPr>
            <w:r w:rsidRPr="00CB15F5">
              <w:rPr>
                <w:sz w:val="20"/>
              </w:rPr>
              <w:t>35-38</w:t>
            </w:r>
          </w:p>
        </w:tc>
        <w:tc>
          <w:tcPr>
            <w:tcW w:w="900" w:type="dxa"/>
          </w:tcPr>
          <w:p w:rsidR="00174C28" w:rsidRPr="00CB15F5" w:rsidRDefault="00174C28" w:rsidP="00174C28">
            <w:pPr>
              <w:pStyle w:val="Tabele"/>
              <w:rPr>
                <w:sz w:val="20"/>
              </w:rPr>
            </w:pPr>
            <w:r w:rsidRPr="00CB15F5">
              <w:rPr>
                <w:sz w:val="20"/>
              </w:rPr>
              <w:t>35-38</w:t>
            </w:r>
          </w:p>
        </w:tc>
        <w:tc>
          <w:tcPr>
            <w:tcW w:w="989" w:type="dxa"/>
          </w:tcPr>
          <w:p w:rsidR="00174C28" w:rsidRPr="00CB15F5" w:rsidRDefault="00174C28" w:rsidP="00174C28">
            <w:pPr>
              <w:pStyle w:val="Tabele"/>
              <w:rPr>
                <w:sz w:val="20"/>
              </w:rPr>
            </w:pPr>
            <w:r w:rsidRPr="00CB15F5">
              <w:rPr>
                <w:sz w:val="20"/>
              </w:rPr>
              <w:t>50-56</w:t>
            </w:r>
          </w:p>
        </w:tc>
      </w:tr>
    </w:tbl>
    <w:p w:rsidR="00174C28" w:rsidRDefault="00174C28" w:rsidP="00174C28">
      <w:pPr>
        <w:pStyle w:val="Paragrafi"/>
      </w:pPr>
    </w:p>
    <w:p w:rsidR="00174C28" w:rsidRDefault="00174C28" w:rsidP="00174C2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74C28"/>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54C29"/>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E1211E-0E6B-442F-9C64-CF517938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C28"/>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174C28"/>
    <w:pPr>
      <w:widowControl w:val="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