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56A" w:rsidRDefault="0038556A" w:rsidP="0038556A">
      <w:pPr>
        <w:pStyle w:val="NumriData"/>
      </w:pPr>
      <w:bookmarkStart w:id="0" w:name="_GoBack"/>
      <w:bookmarkEnd w:id="0"/>
      <w:r>
        <w:t>VENDIM</w:t>
      </w:r>
    </w:p>
    <w:p w:rsidR="0038556A" w:rsidRDefault="0038556A" w:rsidP="0038556A">
      <w:pPr>
        <w:pStyle w:val="NumriData"/>
      </w:pPr>
      <w:r>
        <w:t>Nr.864, datë 17.12.2004</w:t>
      </w:r>
    </w:p>
    <w:p w:rsidR="0038556A" w:rsidRPr="0079167E" w:rsidRDefault="0038556A" w:rsidP="0038556A">
      <w:pPr>
        <w:pStyle w:val="Paragrafi"/>
        <w:rPr>
          <w:sz w:val="14"/>
        </w:rPr>
      </w:pPr>
    </w:p>
    <w:p w:rsidR="0038556A" w:rsidRDefault="0038556A" w:rsidP="0038556A">
      <w:pPr>
        <w:pStyle w:val="Titulli"/>
      </w:pPr>
      <w:r>
        <w:t xml:space="preserve">PËR DISA NDRYSHIME E SHTESA NË VENDIMIN NR.638, DATË 18.9.2004 TË KËSHILLIT TË MINISTRAVE “ pËr MIRATIMIN E STRUKTURËS DHE NIVELIT TË PAGAVE TË PUNONJËSVE TË INFERMIERISTIKËS, NË SISTEMIN E MINISTRISË </w:t>
      </w:r>
    </w:p>
    <w:p w:rsidR="0038556A" w:rsidRDefault="0038556A" w:rsidP="0038556A">
      <w:pPr>
        <w:pStyle w:val="Titulli"/>
      </w:pPr>
      <w:r>
        <w:t>sË SHËNDETËSISË</w:t>
      </w:r>
    </w:p>
    <w:p w:rsidR="0038556A" w:rsidRPr="0079167E" w:rsidRDefault="0038556A" w:rsidP="0038556A">
      <w:pPr>
        <w:pStyle w:val="Paragrafi"/>
        <w:rPr>
          <w:sz w:val="14"/>
        </w:rPr>
      </w:pPr>
    </w:p>
    <w:p w:rsidR="0038556A" w:rsidRDefault="0038556A" w:rsidP="0038556A">
      <w:pPr>
        <w:pStyle w:val="BazLigjPropozues"/>
      </w:pPr>
      <w:r>
        <w:t>Në mbështetje të nenit 100 të Kushtetutës dhe të nenit 5/1 të ligjit nr.8487, datë 13.5.1999 “Për kompetencat për caktimin e pagave të punës”, të ndryshuar, me propozimin e Ministrit të Shtetit për Koordinimin dhe të Ministrit të Financave, Këshilli i Ministrave</w:t>
      </w:r>
    </w:p>
    <w:p w:rsidR="0038556A" w:rsidRPr="0079167E" w:rsidRDefault="0038556A" w:rsidP="0038556A">
      <w:pPr>
        <w:pStyle w:val="Paragrafi"/>
        <w:rPr>
          <w:sz w:val="14"/>
        </w:rPr>
      </w:pPr>
    </w:p>
    <w:p w:rsidR="0038556A" w:rsidRDefault="0038556A" w:rsidP="0038556A">
      <w:pPr>
        <w:pStyle w:val="VENDOSI"/>
      </w:pPr>
      <w:r>
        <w:t>VENDOSI:</w:t>
      </w:r>
    </w:p>
    <w:p w:rsidR="0038556A" w:rsidRPr="0079167E" w:rsidRDefault="0038556A" w:rsidP="0038556A">
      <w:pPr>
        <w:pStyle w:val="Paragrafi"/>
        <w:rPr>
          <w:sz w:val="14"/>
        </w:rPr>
      </w:pPr>
    </w:p>
    <w:p w:rsidR="0038556A" w:rsidRDefault="0038556A" w:rsidP="0038556A">
      <w:pPr>
        <w:pStyle w:val="Paragrafi"/>
      </w:pPr>
      <w:r>
        <w:t>1. Në vendimin nr.638, datë 18.9.2003 të Këshillit të Ministrave, të bëhen ndryshimet e shtesat, si më poshtë vijon:</w:t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  <w:r>
        <w:t>a) Lidhja nr.1 (krerët 1.1, 1.2, 1.3, 1.4, 1.5, 1.6, 1.7) zëvendësohet me lidhjen me të njëjtin numër, që i bashkëlidhet këtij vendimi.</w:t>
      </w:r>
    </w:p>
    <w:p w:rsidR="0038556A" w:rsidRDefault="0038556A" w:rsidP="0038556A">
      <w:pPr>
        <w:pStyle w:val="Paragrafi"/>
      </w:pPr>
      <w:r>
        <w:t>b) Në lidhjen nr.1 të shtohet kreu 1.8 “Struktura e pagave për punonjësit e infermieristikës dhe teknikët në Njësinë e Transportit Mjekësor me Helikopterë”.</w:t>
      </w:r>
    </w:p>
    <w:p w:rsidR="0038556A" w:rsidRDefault="0038556A" w:rsidP="0038556A">
      <w:pPr>
        <w:pStyle w:val="Paragrafi"/>
      </w:pPr>
      <w:r>
        <w:t>c) Lidhja nr.2 zëvendësohet me lidhjen me të njëjtin numër, që i bashkëlidhet këtij vendimi.</w:t>
      </w:r>
    </w:p>
    <w:p w:rsidR="0038556A" w:rsidRDefault="0038556A" w:rsidP="0038556A">
      <w:pPr>
        <w:pStyle w:val="Paragrafi"/>
      </w:pPr>
      <w:r>
        <w:t>2. Efektet financiare që rrjedhin nga zbatimi i këtij vendimi, të përballohen nga buxheti i vitit 2004 e në vazhdim, miratuar për Ministrinë e Shëndetësisë.</w:t>
      </w:r>
    </w:p>
    <w:p w:rsidR="0038556A" w:rsidRDefault="0038556A" w:rsidP="0038556A">
      <w:pPr>
        <w:pStyle w:val="Paragrafi"/>
      </w:pPr>
      <w:r>
        <w:t>Ky vendim hyn në fuqi pas botimit në Fletoren Zyrtare dhe i shtrin efektet nga data 1 nëntor 2004.</w:t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Autoriteti"/>
      </w:pPr>
      <w:r>
        <w:t>Kryeministri</w:t>
      </w:r>
    </w:p>
    <w:p w:rsidR="0038556A" w:rsidRDefault="0038556A" w:rsidP="0038556A">
      <w:pPr>
        <w:pStyle w:val="AutoritetiEmer"/>
      </w:pPr>
      <w:r>
        <w:t>Fatos Nano</w:t>
      </w:r>
    </w:p>
    <w:p w:rsidR="0038556A" w:rsidRPr="00B9035E" w:rsidRDefault="0038556A" w:rsidP="0038556A">
      <w:pPr>
        <w:pStyle w:val="Paragrafi"/>
      </w:pPr>
    </w:p>
    <w:p w:rsidR="0038556A" w:rsidRDefault="0027784B" w:rsidP="0038556A">
      <w:pPr>
        <w:pStyle w:val="Paragrafi"/>
        <w:ind w:firstLine="0"/>
        <w:jc w:val="center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415280" cy="68522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685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Paragrafi"/>
        <w:ind w:firstLine="0"/>
        <w:jc w:val="center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759450" cy="7362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747385" cy="7291705"/>
            <wp:effectExtent l="0" t="0" r="571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2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759450" cy="3075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drawing>
          <wp:inline distT="0" distB="0" distL="0" distR="0">
            <wp:extent cx="4999355" cy="50234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50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</w:pPr>
    </w:p>
    <w:p w:rsidR="0038556A" w:rsidRDefault="0038556A" w:rsidP="0038556A">
      <w:pPr>
        <w:pStyle w:val="Paragrafi"/>
        <w:ind w:firstLine="0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747385" cy="720852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lastRenderedPageBreak/>
        <w:drawing>
          <wp:inline distT="0" distB="0" distL="0" distR="0">
            <wp:extent cx="5759450" cy="2327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5" b="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  <w:jc w:val="center"/>
      </w:pPr>
    </w:p>
    <w:p w:rsidR="0038556A" w:rsidRPr="00774F07" w:rsidRDefault="0038556A" w:rsidP="0038556A">
      <w:pPr>
        <w:pStyle w:val="Paragrafi"/>
        <w:ind w:firstLine="0"/>
        <w:jc w:val="right"/>
        <w:rPr>
          <w:b/>
        </w:rPr>
      </w:pPr>
      <w:r w:rsidRPr="00774F07">
        <w:rPr>
          <w:b/>
        </w:rPr>
        <w:t>LIDHJA 1</w:t>
      </w:r>
    </w:p>
    <w:p w:rsidR="0038556A" w:rsidRDefault="0038556A" w:rsidP="0038556A">
      <w:pPr>
        <w:pStyle w:val="Paragrafi"/>
        <w:ind w:firstLine="0"/>
        <w:jc w:val="right"/>
      </w:pPr>
      <w:r>
        <w:rPr>
          <w:b/>
        </w:rPr>
        <w:t>(Kreu 1.5</w:t>
      </w:r>
      <w:r w:rsidRPr="00774F07">
        <w:rPr>
          <w:b/>
        </w:rPr>
        <w:t>)</w:t>
      </w: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drawing>
          <wp:inline distT="0" distB="0" distL="0" distR="0">
            <wp:extent cx="5747385" cy="198310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29" b="4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</w:pPr>
    </w:p>
    <w:p w:rsidR="0038556A" w:rsidRDefault="0038556A" w:rsidP="0038556A">
      <w:pPr>
        <w:pStyle w:val="Paragrafi"/>
        <w:ind w:firstLine="0"/>
      </w:pPr>
    </w:p>
    <w:p w:rsidR="0038556A" w:rsidRPr="00774F07" w:rsidRDefault="0038556A" w:rsidP="0038556A">
      <w:pPr>
        <w:pStyle w:val="Paragrafi"/>
        <w:ind w:firstLine="0"/>
        <w:jc w:val="right"/>
        <w:rPr>
          <w:b/>
        </w:rPr>
      </w:pPr>
      <w:r w:rsidRPr="00774F07">
        <w:rPr>
          <w:b/>
        </w:rPr>
        <w:t>LIDHJA 1</w:t>
      </w:r>
    </w:p>
    <w:p w:rsidR="0038556A" w:rsidRDefault="0038556A" w:rsidP="0038556A">
      <w:pPr>
        <w:pStyle w:val="Paragrafi"/>
        <w:ind w:firstLine="0"/>
        <w:jc w:val="right"/>
      </w:pPr>
      <w:r w:rsidRPr="00774F07">
        <w:rPr>
          <w:b/>
        </w:rPr>
        <w:t>(Kreu 1.6)</w:t>
      </w:r>
    </w:p>
    <w:p w:rsidR="0038556A" w:rsidRDefault="0038556A" w:rsidP="0038556A">
      <w:pPr>
        <w:pStyle w:val="Paragrafi"/>
        <w:ind w:firstLine="0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drawing>
          <wp:inline distT="0" distB="0" distL="0" distR="0">
            <wp:extent cx="5759450" cy="25533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drawing>
          <wp:inline distT="0" distB="0" distL="0" distR="0">
            <wp:extent cx="5759450" cy="32778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  <w:jc w:val="center"/>
      </w:pPr>
    </w:p>
    <w:p w:rsidR="0038556A" w:rsidRDefault="0038556A" w:rsidP="0038556A">
      <w:pPr>
        <w:pStyle w:val="Paragrafi"/>
        <w:ind w:firstLine="0"/>
        <w:jc w:val="center"/>
      </w:pPr>
    </w:p>
    <w:p w:rsidR="0038556A" w:rsidRPr="00F61F04" w:rsidRDefault="0038556A" w:rsidP="0038556A">
      <w:pPr>
        <w:pStyle w:val="Paragrafi"/>
        <w:jc w:val="right"/>
        <w:rPr>
          <w:b/>
        </w:rPr>
      </w:pPr>
      <w:r w:rsidRPr="00F61F04">
        <w:rPr>
          <w:b/>
        </w:rPr>
        <w:t>LIDHJA 1</w:t>
      </w:r>
    </w:p>
    <w:p w:rsidR="0038556A" w:rsidRPr="00F61F04" w:rsidRDefault="0038556A" w:rsidP="0038556A">
      <w:pPr>
        <w:pStyle w:val="Paragrafi"/>
        <w:jc w:val="right"/>
        <w:rPr>
          <w:b/>
        </w:rPr>
      </w:pPr>
      <w:r w:rsidRPr="00F61F04">
        <w:rPr>
          <w:b/>
        </w:rPr>
        <w:t>(Kreu 1.8)</w:t>
      </w:r>
    </w:p>
    <w:p w:rsidR="0038556A" w:rsidRDefault="0027784B" w:rsidP="0038556A">
      <w:pPr>
        <w:pStyle w:val="Figure"/>
      </w:pPr>
      <w:r w:rsidRPr="005E67B8">
        <w:rPr>
          <w:noProof/>
          <w:lang w:val="en-GB" w:eastAsia="en-GB"/>
        </w:rPr>
        <w:drawing>
          <wp:inline distT="0" distB="0" distL="0" distR="0">
            <wp:extent cx="5759450" cy="23634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56A" w:rsidRDefault="0038556A" w:rsidP="0038556A">
      <w:pPr>
        <w:pStyle w:val="Paragrafi"/>
        <w:ind w:firstLine="0"/>
      </w:pPr>
    </w:p>
    <w:p w:rsidR="0038556A" w:rsidRDefault="0038556A" w:rsidP="0038556A">
      <w:pPr>
        <w:pStyle w:val="Paragrafi"/>
      </w:pPr>
    </w:p>
    <w:p w:rsidR="0038556A" w:rsidRPr="008811ED" w:rsidRDefault="0038556A" w:rsidP="0038556A">
      <w:pPr>
        <w:pStyle w:val="Paragrafi"/>
        <w:ind w:firstLine="0"/>
        <w:jc w:val="right"/>
        <w:rPr>
          <w:b/>
          <w:sz w:val="24"/>
        </w:rPr>
      </w:pPr>
      <w:r>
        <w:rPr>
          <w:b/>
          <w:sz w:val="24"/>
        </w:rPr>
        <w:t>LIDHJA Nr.2</w:t>
      </w:r>
    </w:p>
    <w:p w:rsidR="0038556A" w:rsidRDefault="0038556A" w:rsidP="0038556A">
      <w:pPr>
        <w:pStyle w:val="Paragrafi"/>
      </w:pP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4355"/>
        <w:gridCol w:w="4340"/>
      </w:tblGrid>
      <w:tr w:rsidR="0038556A">
        <w:tc>
          <w:tcPr>
            <w:tcW w:w="4355" w:type="dxa"/>
          </w:tcPr>
          <w:p w:rsidR="0038556A" w:rsidRPr="00032090" w:rsidRDefault="0038556A" w:rsidP="0038556A">
            <w:pPr>
              <w:pStyle w:val="Tabele"/>
              <w:jc w:val="center"/>
              <w:rPr>
                <w:b/>
                <w:sz w:val="24"/>
              </w:rPr>
            </w:pPr>
            <w:r w:rsidRPr="00032090">
              <w:rPr>
                <w:b/>
                <w:sz w:val="24"/>
              </w:rPr>
              <w:t>GRUPI</w:t>
            </w:r>
          </w:p>
        </w:tc>
        <w:tc>
          <w:tcPr>
            <w:tcW w:w="4340" w:type="dxa"/>
          </w:tcPr>
          <w:p w:rsidR="0038556A" w:rsidRPr="00032090" w:rsidRDefault="0038556A" w:rsidP="0038556A">
            <w:pPr>
              <w:pStyle w:val="Tabele"/>
              <w:jc w:val="center"/>
              <w:rPr>
                <w:b/>
                <w:sz w:val="24"/>
              </w:rPr>
            </w:pPr>
            <w:r w:rsidRPr="00032090">
              <w:rPr>
                <w:b/>
                <w:sz w:val="24"/>
              </w:rPr>
              <w:t>PAGA NE LEKE</w:t>
            </w:r>
          </w:p>
        </w:tc>
      </w:tr>
      <w:tr w:rsidR="0038556A" w:rsidRPr="00032090">
        <w:tc>
          <w:tcPr>
            <w:tcW w:w="4355" w:type="dxa"/>
          </w:tcPr>
          <w:p w:rsidR="0038556A" w:rsidRPr="00032090" w:rsidRDefault="0038556A" w:rsidP="0038556A">
            <w:pPr>
              <w:pStyle w:val="Tabele"/>
              <w:ind w:firstLine="432"/>
              <w:rPr>
                <w:sz w:val="24"/>
              </w:rPr>
            </w:pPr>
            <w:r w:rsidRPr="00032090">
              <w:rPr>
                <w:sz w:val="24"/>
              </w:rPr>
              <w:t>1</w:t>
            </w:r>
          </w:p>
        </w:tc>
        <w:tc>
          <w:tcPr>
            <w:tcW w:w="4340" w:type="dxa"/>
          </w:tcPr>
          <w:p w:rsidR="0038556A" w:rsidRPr="00032090" w:rsidRDefault="0038556A" w:rsidP="0038556A">
            <w:pPr>
              <w:pStyle w:val="Tabele"/>
              <w:jc w:val="center"/>
              <w:rPr>
                <w:sz w:val="24"/>
              </w:rPr>
            </w:pPr>
            <w:r w:rsidRPr="00032090">
              <w:rPr>
                <w:sz w:val="24"/>
              </w:rPr>
              <w:t>7238</w:t>
            </w:r>
          </w:p>
        </w:tc>
      </w:tr>
      <w:tr w:rsidR="0038556A" w:rsidRPr="00032090">
        <w:tc>
          <w:tcPr>
            <w:tcW w:w="4355" w:type="dxa"/>
          </w:tcPr>
          <w:p w:rsidR="0038556A" w:rsidRPr="00032090" w:rsidRDefault="0038556A" w:rsidP="0038556A">
            <w:pPr>
              <w:pStyle w:val="Tabele"/>
              <w:ind w:firstLine="432"/>
              <w:rPr>
                <w:sz w:val="24"/>
              </w:rPr>
            </w:pPr>
            <w:r w:rsidRPr="00032090">
              <w:rPr>
                <w:sz w:val="24"/>
              </w:rPr>
              <w:t>2</w:t>
            </w:r>
          </w:p>
        </w:tc>
        <w:tc>
          <w:tcPr>
            <w:tcW w:w="4340" w:type="dxa"/>
          </w:tcPr>
          <w:p w:rsidR="0038556A" w:rsidRPr="00032090" w:rsidRDefault="0038556A" w:rsidP="0038556A">
            <w:pPr>
              <w:pStyle w:val="Tabele"/>
              <w:jc w:val="center"/>
              <w:rPr>
                <w:sz w:val="24"/>
              </w:rPr>
            </w:pPr>
            <w:r w:rsidRPr="00032090">
              <w:rPr>
                <w:sz w:val="24"/>
              </w:rPr>
              <w:t>6480</w:t>
            </w:r>
          </w:p>
        </w:tc>
      </w:tr>
      <w:tr w:rsidR="0038556A" w:rsidRPr="00032090">
        <w:tc>
          <w:tcPr>
            <w:tcW w:w="4355" w:type="dxa"/>
          </w:tcPr>
          <w:p w:rsidR="0038556A" w:rsidRPr="00032090" w:rsidRDefault="0038556A" w:rsidP="0038556A">
            <w:pPr>
              <w:pStyle w:val="Tabele"/>
              <w:ind w:firstLine="432"/>
              <w:rPr>
                <w:sz w:val="24"/>
              </w:rPr>
            </w:pPr>
            <w:r w:rsidRPr="00032090">
              <w:rPr>
                <w:sz w:val="24"/>
              </w:rPr>
              <w:t>3</w:t>
            </w:r>
          </w:p>
        </w:tc>
        <w:tc>
          <w:tcPr>
            <w:tcW w:w="4340" w:type="dxa"/>
          </w:tcPr>
          <w:p w:rsidR="0038556A" w:rsidRPr="00032090" w:rsidRDefault="0038556A" w:rsidP="0038556A">
            <w:pPr>
              <w:pStyle w:val="Tabele"/>
              <w:jc w:val="center"/>
              <w:rPr>
                <w:sz w:val="24"/>
              </w:rPr>
            </w:pPr>
            <w:r w:rsidRPr="00032090">
              <w:rPr>
                <w:sz w:val="24"/>
              </w:rPr>
              <w:t>4350</w:t>
            </w:r>
          </w:p>
        </w:tc>
      </w:tr>
    </w:tbl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</w:pPr>
    </w:p>
    <w:p w:rsidR="0038556A" w:rsidRDefault="0038556A" w:rsidP="0038556A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784B"/>
    <w:rsid w:val="002C6BAB"/>
    <w:rsid w:val="002D303F"/>
    <w:rsid w:val="00304413"/>
    <w:rsid w:val="00354A65"/>
    <w:rsid w:val="00383FD5"/>
    <w:rsid w:val="0038556A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500609-A3C4-48EB-BD50-A95F05F2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56A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855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