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F99" w:rsidRPr="00510C8B" w:rsidRDefault="00D64F99" w:rsidP="00D64F99">
      <w:pPr>
        <w:pStyle w:val="Akti"/>
      </w:pPr>
      <w:bookmarkStart w:id="0" w:name="_GoBack"/>
      <w:bookmarkEnd w:id="0"/>
      <w:r w:rsidRPr="00510C8B">
        <w:t>VENDIM</w:t>
      </w:r>
    </w:p>
    <w:p w:rsidR="00D64F99" w:rsidRPr="00510C8B" w:rsidRDefault="00D64F99" w:rsidP="00D64F99">
      <w:pPr>
        <w:pStyle w:val="NumriData"/>
      </w:pPr>
      <w:r w:rsidRPr="00510C8B">
        <w:t>Nr.59,</w:t>
      </w:r>
      <w:r>
        <w:t xml:space="preserve"> </w:t>
      </w:r>
      <w:r w:rsidRPr="00510C8B">
        <w:t>datë 28.1.2005</w:t>
      </w:r>
    </w:p>
    <w:p w:rsidR="00D64F99" w:rsidRDefault="00D64F99" w:rsidP="00D64F99">
      <w:pPr>
        <w:pStyle w:val="Paragrafi"/>
        <w:rPr>
          <w:lang w:val="it-IT"/>
        </w:rPr>
      </w:pPr>
    </w:p>
    <w:p w:rsidR="00D64F99" w:rsidRPr="006934AF" w:rsidRDefault="00D64F99" w:rsidP="00D64F99">
      <w:pPr>
        <w:pStyle w:val="Titulli"/>
        <w:rPr>
          <w:lang w:val="it-IT"/>
        </w:rPr>
      </w:pPr>
      <w:r w:rsidRPr="006934AF">
        <w:rPr>
          <w:lang w:val="it-IT"/>
        </w:rPr>
        <w:t>PËR KRYERJEN E ANALIZAVE TË VLERAVE TË TREGUESVE TË TOKËS BUJQËSORE</w:t>
      </w:r>
    </w:p>
    <w:p w:rsidR="00D64F99" w:rsidRPr="00510C8B" w:rsidRDefault="00D64F99" w:rsidP="00D64F99">
      <w:pPr>
        <w:pStyle w:val="Paragrafi"/>
        <w:rPr>
          <w:lang w:val="it-IT"/>
        </w:rPr>
      </w:pPr>
    </w:p>
    <w:p w:rsidR="00D64F99" w:rsidRDefault="00D64F99" w:rsidP="00D64F99">
      <w:pPr>
        <w:pStyle w:val="BazLigjPropozues"/>
      </w:pPr>
      <w:r w:rsidRPr="00510C8B">
        <w:t>Në</w:t>
      </w:r>
      <w:r>
        <w:t xml:space="preserve"> mbështetje të nenit 1</w:t>
      </w:r>
      <w:r w:rsidRPr="00510C8B">
        <w:t>00 të Kushtetutës dhe të pik</w:t>
      </w:r>
      <w:r>
        <w:t>ës 1</w:t>
      </w:r>
      <w:r w:rsidRPr="00510C8B">
        <w:t xml:space="preserve"> të</w:t>
      </w:r>
      <w:r>
        <w:t xml:space="preserve"> nenit 22</w:t>
      </w:r>
      <w:r w:rsidRPr="00510C8B">
        <w:t xml:space="preserve"> të ligjit nr.9244, datë</w:t>
      </w:r>
      <w:r>
        <w:t xml:space="preserve"> 17.6.2004</w:t>
      </w:r>
      <w:r w:rsidRPr="00510C8B">
        <w:t xml:space="preserve"> “Për mbrojtjen e tokës bujqësore”, me propozimin e Ministrit të Bujqësisë dhe të Ushqimit dhe të M</w:t>
      </w:r>
      <w:r>
        <w:t>inistrit të</w:t>
      </w:r>
      <w:r w:rsidRPr="00510C8B">
        <w:t xml:space="preserve"> Mjedisit, Këshilli i Ministrave</w:t>
      </w:r>
    </w:p>
    <w:p w:rsidR="00D64F99" w:rsidRDefault="00D64F99" w:rsidP="00D64F99">
      <w:pPr>
        <w:pStyle w:val="Paragrafi"/>
        <w:ind w:firstLine="0"/>
        <w:rPr>
          <w:lang w:val="it-IT"/>
        </w:rPr>
      </w:pPr>
    </w:p>
    <w:p w:rsidR="00D64F99" w:rsidRDefault="00D64F99" w:rsidP="00D64F99">
      <w:pPr>
        <w:pStyle w:val="VENDOSI"/>
      </w:pPr>
      <w:r w:rsidRPr="00510C8B">
        <w:t>VENDOSI:</w:t>
      </w:r>
    </w:p>
    <w:p w:rsidR="00D64F99" w:rsidRPr="00510C8B" w:rsidRDefault="00D64F99" w:rsidP="00D64F99">
      <w:pPr>
        <w:pStyle w:val="Paragrafi"/>
        <w:rPr>
          <w:lang w:val="it-IT"/>
        </w:rPr>
      </w:pP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I. Analiza të detyrueshme, të zakonshme të tokës bujqësore.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1. Anali</w:t>
      </w:r>
      <w:r>
        <w:rPr>
          <w:lang w:val="it-IT"/>
        </w:rPr>
        <w:t>za të detyrueshme, të zakonshme</w:t>
      </w:r>
      <w:r w:rsidRPr="00510C8B">
        <w:rPr>
          <w:lang w:val="it-IT"/>
        </w:rPr>
        <w:t xml:space="preserve"> janë:</w:t>
      </w:r>
    </w:p>
    <w:p w:rsidR="00D64F99" w:rsidRPr="00510C8B" w:rsidRDefault="00D64F99" w:rsidP="00D64F99">
      <w:pPr>
        <w:pStyle w:val="Paragrafi"/>
        <w:rPr>
          <w:lang w:val="it-IT"/>
        </w:rPr>
      </w:pPr>
      <w:r>
        <w:rPr>
          <w:lang w:val="it-IT"/>
        </w:rPr>
        <w:t>Analizat</w:t>
      </w:r>
      <w:r w:rsidRPr="00510C8B">
        <w:rPr>
          <w:lang w:val="it-IT"/>
        </w:rPr>
        <w:t xml:space="preserve"> që kryhen në mënyrë periodike, me afate kohore të pë</w:t>
      </w:r>
      <w:r>
        <w:rPr>
          <w:lang w:val="it-IT"/>
        </w:rPr>
        <w:t>rcaktuara</w:t>
      </w:r>
      <w:r w:rsidRPr="00510C8B">
        <w:rPr>
          <w:lang w:val="it-IT"/>
        </w:rPr>
        <w:t xml:space="preserve"> nëpërmjet të cilave pronarët dhe poseduesit e ligjshëm të tokës bujqësore marrin të dhëna të sakta për gjendjen dhe nivelin e pjellorisë së tokës bujqësore, në bazë të së cilave zbatojnë masa të përshtatshme agro-teknologjike për rritj</w:t>
      </w:r>
      <w:r>
        <w:rPr>
          <w:lang w:val="it-IT"/>
        </w:rPr>
        <w:t>en e rendimentit nga bimët bujqë</w:t>
      </w:r>
      <w:r w:rsidRPr="00510C8B">
        <w:rPr>
          <w:lang w:val="it-IT"/>
        </w:rPr>
        <w:t>sore të kultivuara.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2. Për pjesën e ngurtë të tokës bujqësore analizohen këta tregues: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a) Për kategorinë e tokave me pjellori normale, analizohen: pH; humusi; NPK; karbonatet; raporti Ca/Mg; Cl; mbetja e thatë; treguesit fizikë, si struktura e tokës dhe përbërja mekanike e saj;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b) Për kategorinë e tokave me pjellori të kufizuar, veç treguesve</w:t>
      </w:r>
      <w:r>
        <w:rPr>
          <w:lang w:val="it-IT"/>
        </w:rPr>
        <w:t xml:space="preserve"> të përcaktuar në shkronjën “a”</w:t>
      </w:r>
      <w:r w:rsidRPr="00510C8B">
        <w:rPr>
          <w:lang w:val="it-IT"/>
        </w:rPr>
        <w:t xml:space="preserve"> të pikë</w:t>
      </w:r>
      <w:r>
        <w:rPr>
          <w:lang w:val="it-IT"/>
        </w:rPr>
        <w:t>s 2</w:t>
      </w:r>
      <w:r w:rsidRPr="00510C8B">
        <w:rPr>
          <w:lang w:val="it-IT"/>
        </w:rPr>
        <w:t xml:space="preserve"> të këtij kreu</w:t>
      </w:r>
      <w:r>
        <w:rPr>
          <w:lang w:val="it-IT"/>
        </w:rPr>
        <w:t>,</w:t>
      </w:r>
      <w:r w:rsidRPr="00510C8B">
        <w:rPr>
          <w:lang w:val="it-IT"/>
        </w:rPr>
        <w:t xml:space="preserve"> analizohen edhe: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i) pë</w:t>
      </w:r>
      <w:r>
        <w:rPr>
          <w:lang w:val="it-IT"/>
        </w:rPr>
        <w:t>r tokat e kripura: pH (H</w:t>
      </w:r>
      <w:r w:rsidRPr="00CD6A11">
        <w:rPr>
          <w:vertAlign w:val="subscript"/>
          <w:lang w:val="it-IT"/>
        </w:rPr>
        <w:t>2</w:t>
      </w:r>
      <w:r>
        <w:rPr>
          <w:lang w:val="it-IT"/>
        </w:rPr>
        <w:t>O, KCl</w:t>
      </w:r>
      <w:r w:rsidRPr="00510C8B">
        <w:rPr>
          <w:lang w:val="it-IT"/>
        </w:rPr>
        <w:t>); mbetja e thatë; Na; Cl;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ii) për tokat acide: pH (</w:t>
      </w:r>
      <w:r>
        <w:rPr>
          <w:lang w:val="it-IT"/>
        </w:rPr>
        <w:t>H</w:t>
      </w:r>
      <w:r w:rsidRPr="00CD6A11">
        <w:rPr>
          <w:vertAlign w:val="subscript"/>
          <w:lang w:val="it-IT"/>
        </w:rPr>
        <w:t>2</w:t>
      </w:r>
      <w:r>
        <w:rPr>
          <w:lang w:val="it-IT"/>
        </w:rPr>
        <w:t>O, KCl</w:t>
      </w:r>
      <w:r w:rsidRPr="00510C8B">
        <w:rPr>
          <w:lang w:val="it-IT"/>
        </w:rPr>
        <w:t>); aciditeti hidrolitik;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iii) p</w:t>
      </w:r>
      <w:r>
        <w:rPr>
          <w:lang w:val="it-IT"/>
        </w:rPr>
        <w:t>ër tokat magneziale: raporti Ca/</w:t>
      </w:r>
      <w:r w:rsidRPr="00510C8B">
        <w:rPr>
          <w:lang w:val="it-IT"/>
        </w:rPr>
        <w:t>Mg</w:t>
      </w:r>
      <w:r>
        <w:rPr>
          <w:lang w:val="it-IT"/>
        </w:rPr>
        <w:t>;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c) Për kategorinë e tokave torfike, tregues të veçantë që analizohen janë: pH; humusi; konduktiviteti elektrik.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3. Analizat e vlerave të treguesve të tokës, për pjesën e ngurtë të saj, kryhen çdo 5 vjet.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4. Organizimi i marrjes së mostrave për analiz</w:t>
      </w:r>
      <w:r>
        <w:rPr>
          <w:lang w:val="it-IT"/>
        </w:rPr>
        <w:t>at e zakonshme të tokës bujqë</w:t>
      </w:r>
      <w:r w:rsidRPr="00510C8B">
        <w:rPr>
          <w:lang w:val="it-IT"/>
        </w:rPr>
        <w:t>sore bëhet nga seksioni i administrimit dhe mbrojtjes së tokës në këshillin e qarkut.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5. Shpenzimet e analizave të detyruesh</w:t>
      </w:r>
      <w:r>
        <w:rPr>
          <w:lang w:val="it-IT"/>
        </w:rPr>
        <w:t>me, të zakonshme, të tokës bujqë</w:t>
      </w:r>
      <w:r w:rsidRPr="00510C8B">
        <w:rPr>
          <w:lang w:val="it-IT"/>
        </w:rPr>
        <w:t>sore mbulohen nga pronari ose poseduesi i ligjshëm i tokës bujqësore, sipas tarif</w:t>
      </w:r>
      <w:r>
        <w:rPr>
          <w:lang w:val="it-IT"/>
        </w:rPr>
        <w:t>ave, që miratohen me urdhër të M</w:t>
      </w:r>
      <w:r w:rsidRPr="00510C8B">
        <w:rPr>
          <w:lang w:val="it-IT"/>
        </w:rPr>
        <w:t>inistrit të Bujqësisë dhe të Ushqimit.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6. Detyrimi për kryerjen e analizave për gjendjen e ujërave të ujitjes dhe atyre nëntokësore, përcaktohet në bazë të studimit dhe rekomandimeve të Institutit të Studimit të To</w:t>
      </w:r>
      <w:r>
        <w:rPr>
          <w:lang w:val="it-IT"/>
        </w:rPr>
        <w:t>kave (I</w:t>
      </w:r>
      <w:r w:rsidRPr="00510C8B">
        <w:rPr>
          <w:lang w:val="it-IT"/>
        </w:rPr>
        <w:t>ST), në të cilat përcaktohen zonat bujqësore dhe burimet e ujit, që i nënshtrohen analizës.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7. Treguesit e gjendjes së ujërave të ujitjes dhe atyre nëntokësore, që analizohen janë</w:t>
      </w:r>
      <w:r>
        <w:rPr>
          <w:lang w:val="it-IT"/>
        </w:rPr>
        <w:t>: pH; konduktiviteti el</w:t>
      </w:r>
      <w:r w:rsidRPr="00510C8B">
        <w:rPr>
          <w:lang w:val="it-IT"/>
        </w:rPr>
        <w:t>ektrik; Na; K; Ca; Mg; karbonatet dhe bikarbonatet; Cl; sulfatet dhe fosfatet; azoti nitr</w:t>
      </w:r>
      <w:r>
        <w:rPr>
          <w:lang w:val="it-IT"/>
        </w:rPr>
        <w:t>ik dhe amoniakal; mbetja e thatë</w:t>
      </w:r>
      <w:r w:rsidRPr="00510C8B">
        <w:rPr>
          <w:lang w:val="it-IT"/>
        </w:rPr>
        <w:t>; SAR, si dhe elementet ndotëse të metaleve të rë</w:t>
      </w:r>
      <w:r>
        <w:rPr>
          <w:lang w:val="it-IT"/>
        </w:rPr>
        <w:t>nda s</w:t>
      </w:r>
      <w:r w:rsidRPr="00510C8B">
        <w:rPr>
          <w:lang w:val="it-IT"/>
        </w:rPr>
        <w:t>i: Cu; Cd; Mn; Zn; Fe; Co; Ni; Cr; V; B; Pb.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8. Organizimi i marrjes së mostrave për analizë dhe mbulimi i shpenzimeve për analizat e treguesve të ujit për ujitje bëhen nga shoqatat e përdoruesve të ujit, që veprojnë në territorin ku përdoren burimet e ujit për ujitje.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II. Ngarkohen Ministria e Bujqësisë dhe e Ushqimit, Ministria e Mjedisit dhe strukturat e tjera shtetërore, të ngarkuara pë</w:t>
      </w:r>
      <w:r>
        <w:rPr>
          <w:lang w:val="it-IT"/>
        </w:rPr>
        <w:t>r mbrojtjen e tokës bujqë</w:t>
      </w:r>
      <w:r w:rsidRPr="00510C8B">
        <w:rPr>
          <w:lang w:val="it-IT"/>
        </w:rPr>
        <w:t>sore, për zbatimin e këtij vendimi.</w:t>
      </w:r>
    </w:p>
    <w:p w:rsidR="00D64F99" w:rsidRPr="00510C8B" w:rsidRDefault="00D64F99" w:rsidP="00D64F99">
      <w:pPr>
        <w:pStyle w:val="Paragrafi"/>
        <w:rPr>
          <w:lang w:val="it-IT"/>
        </w:rPr>
      </w:pPr>
      <w:r w:rsidRPr="00510C8B">
        <w:rPr>
          <w:lang w:val="it-IT"/>
        </w:rPr>
        <w:t>Ky vendim hyn në fuqi pas botimit në Fletoren Zyrtare.</w:t>
      </w:r>
    </w:p>
    <w:p w:rsidR="00D64F99" w:rsidRDefault="00D64F99" w:rsidP="00D64F99">
      <w:pPr>
        <w:pStyle w:val="Paragrafi"/>
        <w:rPr>
          <w:lang w:val="it-IT"/>
        </w:rPr>
      </w:pPr>
    </w:p>
    <w:p w:rsidR="00D64F99" w:rsidRPr="00510C8B" w:rsidRDefault="00D64F99" w:rsidP="00D64F99">
      <w:pPr>
        <w:pStyle w:val="Autoriteti"/>
      </w:pPr>
      <w:r w:rsidRPr="00510C8B">
        <w:t>Kryeministri</w:t>
      </w:r>
    </w:p>
    <w:p w:rsidR="00D64F99" w:rsidRPr="00510C8B" w:rsidRDefault="00D64F99" w:rsidP="00D64F99">
      <w:pPr>
        <w:pStyle w:val="AutoritetiEmer"/>
      </w:pPr>
      <w:r w:rsidRPr="00510C8B">
        <w:t>Fatos Nano</w:t>
      </w:r>
    </w:p>
    <w:p w:rsidR="00D64F99" w:rsidRPr="00510C8B" w:rsidRDefault="00D64F99" w:rsidP="00D64F99">
      <w:pPr>
        <w:pStyle w:val="Paragrafi"/>
        <w:rPr>
          <w:lang w:val="it-IT"/>
        </w:rPr>
      </w:pPr>
    </w:p>
    <w:p w:rsidR="00D64F99" w:rsidRPr="00510C8B" w:rsidRDefault="00D64F99" w:rsidP="00D64F99">
      <w:pPr>
        <w:pStyle w:val="Paragrafi"/>
        <w:ind w:firstLine="0"/>
        <w:rPr>
          <w:lang w:val="it-IT"/>
        </w:rPr>
      </w:pPr>
    </w:p>
    <w:sectPr w:rsidR="00D64F99" w:rsidRPr="00510C8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48FE"/>
    <w:rsid w:val="00D64F9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39AB6F-AB43-4868-BF2C-C0976289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64F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