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AF4" w:rsidRDefault="00007AF4" w:rsidP="00007AF4">
      <w:pPr>
        <w:pStyle w:val="Akti"/>
      </w:pPr>
      <w:bookmarkStart w:id="0" w:name="_GoBack"/>
      <w:bookmarkEnd w:id="0"/>
      <w:r>
        <w:t>Vendim</w:t>
      </w:r>
    </w:p>
    <w:p w:rsidR="00007AF4" w:rsidRDefault="00007AF4" w:rsidP="00007AF4">
      <w:pPr>
        <w:pStyle w:val="NumriData"/>
      </w:pPr>
      <w:r>
        <w:t>Nr.342, datë 20.5.2005</w:t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Titulli"/>
      </w:pPr>
      <w:r>
        <w:t>Për miratimin e listës së inventarit dhe transferimin e pronave të klubit të futbollit “Tirana”, në pronësi të bashkisë së Tiranës</w:t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BazLigjPropozues"/>
      </w:pPr>
      <w:r>
        <w:t>Në mbështetje të nenit 100 të Kushtetutës, të pikës 3 të nenit 8 të ligjit nr.8743, datë 22.2.2001 “Për pronat e paluajtshme të shtetit” dhe të nenit 3 të ligjit nr.8744, datë 22.2.2001 “Për transferimin e pronave të paluajtshme publike të shtetit në njësitë e qeverisjes vendore”, me propozimin e Ministrit të Pushtetit Vendor dhe të Decentralizimit, Këshilli i Ministrave</w:t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VENDOSI"/>
      </w:pPr>
      <w:r>
        <w:t>Vendosi:</w:t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  <w:r>
        <w:t>1. Miratimin e listave të inventarit të stadiumit “Selman Stërmasi”, së bashku me aneksin, të stadiumit “Skënder Halili”, së bashku me aneksin, dhe të fushës sportive “Ali Demi”, si dhe transferimin e tyre në pronësi të bashkisë së Tiranës, sipas dokumentacionit që i bashkëlidhet këtij vendimi, të përbërë nga formulari, planimetritë dhe planvendosjet.</w:t>
      </w:r>
    </w:p>
    <w:p w:rsidR="00007AF4" w:rsidRDefault="00007AF4" w:rsidP="00007AF4">
      <w:pPr>
        <w:pStyle w:val="Paragrafi"/>
      </w:pPr>
      <w:r>
        <w:t>2. Ngarkohen Ministri i Pushtetit Vendor dhe i Decentralizimit, kryeregjistruesi i Pasurive të Paluajtshme të Republikës së Shqipërisë dhe kryetari i Bashkisë së Tiranës të ndjekin procedurat e nevojshme për zbatimin e këtij vendimi.</w:t>
      </w:r>
    </w:p>
    <w:p w:rsidR="00007AF4" w:rsidRDefault="00007AF4" w:rsidP="00007AF4">
      <w:pPr>
        <w:pStyle w:val="Paragrafi"/>
      </w:pPr>
      <w:r>
        <w:t>Ky vendim hyn në fuqi pas botimit në Fletoren Zyrtare.</w:t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AutoritetiEmer"/>
      </w:pPr>
      <w:r>
        <w:t>Kryeministri</w:t>
      </w:r>
    </w:p>
    <w:p w:rsidR="00007AF4" w:rsidRDefault="00007AF4" w:rsidP="00007AF4">
      <w:pPr>
        <w:pStyle w:val="AutoritetiEmer"/>
      </w:pPr>
      <w:r>
        <w:t>Fatos Nano</w:t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BC44B1" w:rsidP="00007AF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78860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88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BC44B1" w:rsidP="00007AF4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57800" cy="7543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Pr="007F0B8C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BC44B1" w:rsidP="00007AF4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5780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BC44B1" w:rsidP="00007AF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8458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007AF4" w:rsidP="00007AF4">
      <w:pPr>
        <w:pStyle w:val="Paragrafi"/>
      </w:pPr>
    </w:p>
    <w:p w:rsidR="00007AF4" w:rsidRDefault="00BC44B1" w:rsidP="00007AF4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8801100"/>
            <wp:effectExtent l="0" t="0" r="0" b="0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BC44B1" w:rsidP="00007AF4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029200" cy="83439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BC44B1" w:rsidP="00007AF4">
      <w:pPr>
        <w:pStyle w:val="Figure"/>
      </w:pPr>
      <w:r w:rsidRPr="00523EDD">
        <w:rPr>
          <w:noProof/>
          <w:lang w:val="en-GB" w:eastAsia="en-GB"/>
        </w:rPr>
        <w:drawing>
          <wp:inline distT="0" distB="0" distL="0" distR="0">
            <wp:extent cx="5762625" cy="81057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BC44B1" w:rsidP="00007AF4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143500" cy="73152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007AF4" w:rsidP="00007AF4">
      <w:pPr>
        <w:pStyle w:val="Paragrafi"/>
      </w:pPr>
    </w:p>
    <w:p w:rsidR="00007AF4" w:rsidRDefault="00BC44B1" w:rsidP="00007AF4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257800" cy="8343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BC44B1" w:rsidP="00007AF4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753100" cy="88011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BC44B1" w:rsidP="00007AF4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762625" cy="80962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F4" w:rsidRDefault="00007AF4" w:rsidP="00007AF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7AF4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44B1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884E59-54F2-4B80-B03F-BE906DF0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07AF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