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F29" w:rsidRDefault="00614F29" w:rsidP="00614F29">
      <w:pPr>
        <w:pStyle w:val="Akti"/>
      </w:pPr>
      <w:bookmarkStart w:id="0" w:name="_GoBack"/>
      <w:bookmarkEnd w:id="0"/>
      <w:r>
        <w:t>Vendim</w:t>
      </w:r>
    </w:p>
    <w:p w:rsidR="00614F29" w:rsidRDefault="00614F29" w:rsidP="00614F29">
      <w:pPr>
        <w:pStyle w:val="NumriData"/>
      </w:pPr>
      <w:r>
        <w:t>Nr.693, datë 10.11.2005</w:t>
      </w:r>
    </w:p>
    <w:p w:rsidR="00614F29" w:rsidRDefault="00614F29" w:rsidP="00614F29">
      <w:pPr>
        <w:pStyle w:val="Paragrafi"/>
      </w:pPr>
    </w:p>
    <w:p w:rsidR="00614F29" w:rsidRDefault="00614F29" w:rsidP="00614F29">
      <w:pPr>
        <w:pStyle w:val="Titulli"/>
      </w:pPr>
      <w:r>
        <w:t>Për shpalljen e kompleksit ligatinor të Butrintit “Park Kombëtar”</w:t>
      </w:r>
    </w:p>
    <w:p w:rsidR="00614F29" w:rsidRDefault="00614F29" w:rsidP="00614F29">
      <w:pPr>
        <w:pStyle w:val="Paragrafi"/>
      </w:pPr>
    </w:p>
    <w:p w:rsidR="00614F29" w:rsidRDefault="00614F29" w:rsidP="00614F29">
      <w:pPr>
        <w:pStyle w:val="BazLigjPropozues"/>
      </w:pPr>
      <w:r>
        <w:t>Në mbështetje të nenit 100 të Kushtetutës, të neneve 4 pika 1 shkronja “b”, 6  e 13 pika 1 të ligjit nr.8906, datë 6.6.2002 “Për zonat e mbrojtura”, me propozimin e Ministrit të Mjedisit, Pyjeve dhe Administrimit të Ujërave, Këshilli i Ministrave</w:t>
      </w:r>
    </w:p>
    <w:p w:rsidR="00614F29" w:rsidRDefault="00614F29" w:rsidP="00614F29">
      <w:pPr>
        <w:pStyle w:val="Paragrafi"/>
      </w:pPr>
    </w:p>
    <w:p w:rsidR="00614F29" w:rsidRDefault="00614F29" w:rsidP="00614F29">
      <w:pPr>
        <w:pStyle w:val="VENDOSI"/>
      </w:pPr>
      <w:r>
        <w:t>Vendosi:</w:t>
      </w:r>
    </w:p>
    <w:p w:rsidR="00614F29" w:rsidRDefault="00614F29" w:rsidP="00614F29">
      <w:pPr>
        <w:pStyle w:val="Paragrafi"/>
      </w:pPr>
    </w:p>
    <w:p w:rsidR="00614F29" w:rsidRDefault="00614F29" w:rsidP="00614F29">
      <w:pPr>
        <w:pStyle w:val="Paragrafi"/>
      </w:pPr>
      <w:r>
        <w:t>1. Shpalljen “Park Kombëtar” të territorit natyror të kompleksit ligatinor të Butrintit, sipas hartës që i bashkëlidhet këtij vendimi.</w:t>
      </w:r>
    </w:p>
    <w:p w:rsidR="00614F29" w:rsidRDefault="00614F29" w:rsidP="00614F29">
      <w:pPr>
        <w:pStyle w:val="Paragrafi"/>
      </w:pPr>
      <w:r>
        <w:t>2. Kufijtë e Parkut Kombëtar të Butrintit janë:</w:t>
      </w:r>
    </w:p>
    <w:p w:rsidR="00614F29" w:rsidRDefault="00614F29" w:rsidP="00614F29">
      <w:pPr>
        <w:pStyle w:val="Paragrafi"/>
      </w:pPr>
      <w:r>
        <w:t>Në veri: Vija lidhëse Bredenesh-Kallmit-Qenuri, që kalon në tokat bujqësore të Vurgut;</w:t>
      </w:r>
    </w:p>
    <w:p w:rsidR="00614F29" w:rsidRDefault="00614F29" w:rsidP="00614F29">
      <w:pPr>
        <w:pStyle w:val="Paragrafi"/>
      </w:pPr>
      <w:r>
        <w:t>Në lindje: Vija lidhëse Qenuri-Xarrë, duke kaluar nëpër kurrizin e malit të Miles;</w:t>
      </w:r>
    </w:p>
    <w:p w:rsidR="00614F29" w:rsidRDefault="00614F29" w:rsidP="00614F29">
      <w:pPr>
        <w:pStyle w:val="Paragrafi"/>
      </w:pPr>
      <w:r>
        <w:t>Në perëndim: Vija lidhëse nga Bredeneshi deri në kufirin shtetëror me Republikën e Greqisë, përfshi ishujt e Ksamilit;</w:t>
      </w:r>
    </w:p>
    <w:p w:rsidR="00614F29" w:rsidRDefault="00614F29" w:rsidP="00614F29">
      <w:pPr>
        <w:pStyle w:val="Paragrafi"/>
      </w:pPr>
      <w:r>
        <w:t>Në jug: Vija lidhëse Xarrë-Shëndelli-Vrrinë, deri në Stillo.</w:t>
      </w:r>
    </w:p>
    <w:p w:rsidR="00614F29" w:rsidRDefault="00614F29" w:rsidP="00614F29">
      <w:pPr>
        <w:pStyle w:val="Paragrafi"/>
        <w:rPr>
          <w:lang w:val="sq-AL"/>
        </w:rPr>
      </w:pPr>
      <w:r>
        <w:t>3. Parku Kombëtar i Butrintit përfshin</w:t>
      </w:r>
      <w:r>
        <w:rPr>
          <w:lang w:val="sq-AL"/>
        </w:rPr>
        <w:t xml:space="preserve"> një sipërfaqe prej 8591.2 ha, ku ndodhen:</w:t>
      </w:r>
    </w:p>
    <w:p w:rsidR="00614F29" w:rsidRDefault="00614F29" w:rsidP="00614F29">
      <w:pPr>
        <w:pStyle w:val="Paragrafi"/>
        <w:rPr>
          <w:lang w:val="sq-AL"/>
        </w:rPr>
      </w:pPr>
      <w:r>
        <w:rPr>
          <w:lang w:val="sq-AL"/>
        </w:rPr>
        <w:t>- Sipërfaqe ujore (lagunë, det dhe ligatina të përkohshme)</w:t>
      </w:r>
      <w:r>
        <w:rPr>
          <w:lang w:val="sq-AL"/>
        </w:rPr>
        <w:tab/>
      </w:r>
      <w:r>
        <w:rPr>
          <w:lang w:val="sq-AL"/>
        </w:rPr>
        <w:tab/>
        <w:t xml:space="preserve">2 509 </w:t>
      </w:r>
      <w:r>
        <w:rPr>
          <w:lang w:val="sq-AL"/>
        </w:rPr>
        <w:tab/>
        <w:t>ha;</w:t>
      </w:r>
    </w:p>
    <w:p w:rsidR="00614F29" w:rsidRDefault="00614F29" w:rsidP="00614F29">
      <w:pPr>
        <w:pStyle w:val="Paragrafi"/>
        <w:rPr>
          <w:lang w:val="sq-AL"/>
        </w:rPr>
      </w:pPr>
      <w:r>
        <w:rPr>
          <w:lang w:val="sq-AL"/>
        </w:rPr>
        <w:t>- Makie, me mbizotërim të ilqes</w:t>
      </w:r>
      <w:r>
        <w:rPr>
          <w:lang w:val="sq-AL"/>
        </w:rPr>
        <w:tab/>
      </w:r>
      <w:r>
        <w:rPr>
          <w:lang w:val="sq-AL"/>
        </w:rPr>
        <w:tab/>
      </w:r>
      <w:r>
        <w:rPr>
          <w:lang w:val="sq-AL"/>
        </w:rPr>
        <w:tab/>
      </w:r>
      <w:r>
        <w:rPr>
          <w:lang w:val="sq-AL"/>
        </w:rPr>
        <w:tab/>
      </w:r>
      <w:r>
        <w:rPr>
          <w:lang w:val="sq-AL"/>
        </w:rPr>
        <w:tab/>
        <w:t xml:space="preserve">4 272 </w:t>
      </w:r>
      <w:r>
        <w:rPr>
          <w:lang w:val="sq-AL"/>
        </w:rPr>
        <w:tab/>
        <w:t>ha;</w:t>
      </w:r>
    </w:p>
    <w:p w:rsidR="00614F29" w:rsidRDefault="00614F29" w:rsidP="00614F29">
      <w:pPr>
        <w:pStyle w:val="Paragrafi"/>
        <w:rPr>
          <w:lang w:val="sq-AL"/>
        </w:rPr>
      </w:pPr>
      <w:r>
        <w:rPr>
          <w:lang w:val="sq-AL"/>
        </w:rPr>
        <w:t>- Pisha</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39 </w:t>
      </w:r>
      <w:r>
        <w:rPr>
          <w:lang w:val="sq-AL"/>
        </w:rPr>
        <w:tab/>
        <w:t>ha;</w:t>
      </w:r>
    </w:p>
    <w:p w:rsidR="00614F29" w:rsidRDefault="00614F29" w:rsidP="00614F29">
      <w:pPr>
        <w:pStyle w:val="Paragrafi"/>
        <w:rPr>
          <w:lang w:val="sq-AL"/>
        </w:rPr>
      </w:pPr>
      <w:r>
        <w:rPr>
          <w:lang w:val="sq-AL"/>
        </w:rPr>
        <w:t>- Shkëmbinj të zhveshur</w:t>
      </w:r>
      <w:r>
        <w:rPr>
          <w:lang w:val="sq-AL"/>
        </w:rPr>
        <w:tab/>
      </w:r>
      <w:r>
        <w:rPr>
          <w:lang w:val="sq-AL"/>
        </w:rPr>
        <w:tab/>
      </w:r>
      <w:r>
        <w:rPr>
          <w:lang w:val="sq-AL"/>
        </w:rPr>
        <w:tab/>
      </w:r>
      <w:r>
        <w:rPr>
          <w:lang w:val="sq-AL"/>
        </w:rPr>
        <w:tab/>
      </w:r>
      <w:r>
        <w:rPr>
          <w:lang w:val="sq-AL"/>
        </w:rPr>
        <w:tab/>
      </w:r>
      <w:r>
        <w:rPr>
          <w:lang w:val="sq-AL"/>
        </w:rPr>
        <w:tab/>
        <w:t xml:space="preserve">208 </w:t>
      </w:r>
      <w:r>
        <w:rPr>
          <w:lang w:val="sq-AL"/>
        </w:rPr>
        <w:tab/>
        <w:t>ha;</w:t>
      </w:r>
    </w:p>
    <w:p w:rsidR="00614F29" w:rsidRDefault="00614F29" w:rsidP="00614F29">
      <w:pPr>
        <w:pStyle w:val="Paragrafi"/>
        <w:rPr>
          <w:lang w:val="sq-AL"/>
        </w:rPr>
      </w:pPr>
      <w:r>
        <w:rPr>
          <w:lang w:val="sq-AL"/>
        </w:rPr>
        <w:t>- Ishuj</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6.2 </w:t>
      </w:r>
      <w:r>
        <w:rPr>
          <w:lang w:val="sq-AL"/>
        </w:rPr>
        <w:tab/>
        <w:t>ha;</w:t>
      </w:r>
    </w:p>
    <w:p w:rsidR="00614F29" w:rsidRDefault="00614F29" w:rsidP="00614F29">
      <w:pPr>
        <w:pStyle w:val="Paragrafi"/>
        <w:rPr>
          <w:lang w:val="sq-AL"/>
        </w:rPr>
      </w:pPr>
      <w:r>
        <w:rPr>
          <w:lang w:val="sq-AL"/>
        </w:rPr>
        <w:t>- Pemë frutore</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202 </w:t>
      </w:r>
      <w:r>
        <w:rPr>
          <w:lang w:val="sq-AL"/>
        </w:rPr>
        <w:tab/>
        <w:t>ha;</w:t>
      </w:r>
    </w:p>
    <w:p w:rsidR="00614F29" w:rsidRDefault="00614F29" w:rsidP="00614F29">
      <w:pPr>
        <w:pStyle w:val="Paragrafi"/>
        <w:rPr>
          <w:lang w:val="sq-AL"/>
        </w:rPr>
      </w:pPr>
      <w:r>
        <w:rPr>
          <w:lang w:val="sq-AL"/>
        </w:rPr>
        <w:t>- Sipërfaqe të banuara dhe tokë bujqësore</w:t>
      </w:r>
      <w:r>
        <w:rPr>
          <w:lang w:val="sq-AL"/>
        </w:rPr>
        <w:tab/>
      </w:r>
      <w:r>
        <w:rPr>
          <w:lang w:val="sq-AL"/>
        </w:rPr>
        <w:tab/>
      </w:r>
      <w:r>
        <w:rPr>
          <w:lang w:val="sq-AL"/>
        </w:rPr>
        <w:tab/>
      </w:r>
      <w:r>
        <w:rPr>
          <w:lang w:val="sq-AL"/>
        </w:rPr>
        <w:tab/>
        <w:t xml:space="preserve">1 355 </w:t>
      </w:r>
      <w:r>
        <w:rPr>
          <w:lang w:val="sq-AL"/>
        </w:rPr>
        <w:tab/>
        <w:t>ha.</w:t>
      </w:r>
    </w:p>
    <w:p w:rsidR="00614F29" w:rsidRDefault="00614F29" w:rsidP="00614F29">
      <w:pPr>
        <w:pStyle w:val="Paragrafi"/>
        <w:rPr>
          <w:lang w:val="sq-AL"/>
        </w:rPr>
      </w:pPr>
      <w:r>
        <w:rPr>
          <w:lang w:val="sq-AL"/>
        </w:rPr>
        <w:t>4. Parku Kombëtar i Butrintit ndahet në zonat, si më poshtë vijojnë:</w:t>
      </w:r>
    </w:p>
    <w:p w:rsidR="00614F29" w:rsidRDefault="00614F29" w:rsidP="00614F29">
      <w:pPr>
        <w:pStyle w:val="Paragrafi"/>
        <w:rPr>
          <w:lang w:val="sq-AL"/>
        </w:rPr>
      </w:pPr>
      <w:r>
        <w:rPr>
          <w:lang w:val="sq-AL"/>
        </w:rPr>
        <w:t>a) Zona qendrore të ruajtjes së biodiversitetit, të shënuara në hartë me shkronjën “A”, me sipërfaqe 3980 ha, që përcaktohen si zona me vlera të mëdha për natyrën dhe biodiversitetin. Në këtë zonë të zbatohet shkalla e parë e mbrojtjes.</w:t>
      </w:r>
    </w:p>
    <w:p w:rsidR="00614F29" w:rsidRDefault="00614F29" w:rsidP="00614F29">
      <w:pPr>
        <w:pStyle w:val="Paragrafi"/>
        <w:rPr>
          <w:lang w:val="sq-AL"/>
        </w:rPr>
      </w:pPr>
      <w:r>
        <w:rPr>
          <w:lang w:val="sq-AL"/>
        </w:rPr>
        <w:t>b) Zona rikrijimi, të shënuara në hartë me shkronjën “B”, me sipërfaqe 592 ha, që përcaktohen si zona ku mund të zhvillohen një sërë veprimtarish me karakter edukimi, rikrijimi, si dhe veprimtari të tjera lehtësuese, që nuk cenojnë funksionet e Parkut Kombëtar dhe vlerat ekologjike, kulturore dhe natyrore të tij. Në këtë zonë të zbatohet shkalla e dytë e mbrojtjes.</w:t>
      </w:r>
    </w:p>
    <w:p w:rsidR="00614F29" w:rsidRDefault="00614F29" w:rsidP="00614F29">
      <w:pPr>
        <w:pStyle w:val="Paragrafi"/>
        <w:rPr>
          <w:lang w:val="sq-AL"/>
        </w:rPr>
      </w:pPr>
      <w:r>
        <w:rPr>
          <w:lang w:val="sq-AL"/>
        </w:rPr>
        <w:t>c) Zona të përdorimit tradicional, të shënuara në hartë me shkronjën “C”, me sipërfaqe       3 081.2 ha që përcaktohen si zona me burime natyrore, ku kryhen veprimtari tradicionale, ekonomike dhe të menaxhimit të qëndrueshëm të burimeve natyrore. Në këtë zonë të zbatohet shkalla e tretë e mbrojtjes.</w:t>
      </w:r>
    </w:p>
    <w:p w:rsidR="00614F29" w:rsidRPr="003273A7" w:rsidRDefault="00614F29" w:rsidP="00614F29">
      <w:pPr>
        <w:pStyle w:val="Paragrafi"/>
        <w:rPr>
          <w:rFonts w:ascii="Times New Roman" w:hAnsi="Times New Roman"/>
          <w:lang w:val="sq-AL"/>
        </w:rPr>
      </w:pPr>
      <w:r w:rsidRPr="003273A7">
        <w:rPr>
          <w:rFonts w:ascii="Times New Roman" w:hAnsi="Times New Roman"/>
          <w:lang w:val="sq-AL"/>
        </w:rPr>
        <w:t>ç)</w:t>
      </w:r>
      <w:r>
        <w:rPr>
          <w:rFonts w:ascii="Times New Roman" w:hAnsi="Times New Roman"/>
          <w:lang w:val="sq-AL"/>
        </w:rPr>
        <w:t xml:space="preserve"> Zona të përdorimit të qëndruesh</w:t>
      </w:r>
      <w:r w:rsidRPr="003273A7">
        <w:rPr>
          <w:rFonts w:ascii="Times New Roman" w:hAnsi="Times New Roman"/>
          <w:lang w:val="sq-AL"/>
        </w:rPr>
        <w:t>ëm, të shënuara në hartë me sh</w:t>
      </w:r>
      <w:r>
        <w:rPr>
          <w:rFonts w:ascii="Times New Roman" w:hAnsi="Times New Roman"/>
          <w:lang w:val="sq-AL"/>
        </w:rPr>
        <w:t>kronjën “D”, me sipërfaqe 938 ha</w:t>
      </w:r>
      <w:r w:rsidRPr="003273A7">
        <w:rPr>
          <w:rFonts w:ascii="Times New Roman" w:hAnsi="Times New Roman"/>
          <w:lang w:val="sq-AL"/>
        </w:rPr>
        <w:t>, ku mundësohet zhvillimi i ve</w:t>
      </w:r>
      <w:r>
        <w:rPr>
          <w:rFonts w:ascii="Times New Roman" w:hAnsi="Times New Roman"/>
          <w:lang w:val="sq-AL"/>
        </w:rPr>
        <w:t>primtarive të reja, të qëndrueshme, zona të c</w:t>
      </w:r>
      <w:r w:rsidRPr="003273A7">
        <w:rPr>
          <w:rFonts w:ascii="Times New Roman" w:hAnsi="Times New Roman"/>
          <w:lang w:val="sq-AL"/>
        </w:rPr>
        <w:t>ilat kanë edhe funksione të një zone buferike për zonat urbane fqinje dhe veprimtaritë ekonomike intensive.</w:t>
      </w:r>
    </w:p>
    <w:p w:rsidR="00614F29" w:rsidRDefault="00614F29" w:rsidP="00614F29">
      <w:pPr>
        <w:pStyle w:val="Paragrafi"/>
        <w:rPr>
          <w:rFonts w:ascii="Times New Roman" w:hAnsi="Times New Roman"/>
          <w:lang w:val="sq-AL"/>
        </w:rPr>
      </w:pPr>
      <w:r>
        <w:rPr>
          <w:rFonts w:ascii="Times New Roman" w:hAnsi="Times New Roman"/>
          <w:lang w:val="sq-AL"/>
        </w:rPr>
        <w:t>5. Ngarkohet Ministria e Mjedisit, Pyjeve dhe Administrimit të Ujërave që, në bashkëpunim me Ministrinë e Turizmit, Kulturës, Rinisë dhe Sporteve, me organet e pushtetit vendor, me organizatat jofitimprurëse  dhe me përfaqësues të komunitetit, të hartojë planin e menaxhimit të zonës.</w:t>
      </w:r>
    </w:p>
    <w:p w:rsidR="00614F29" w:rsidRDefault="00614F29" w:rsidP="00614F29">
      <w:pPr>
        <w:pStyle w:val="Paragrafi"/>
        <w:rPr>
          <w:rFonts w:ascii="Times New Roman" w:hAnsi="Times New Roman"/>
          <w:lang w:val="sq-AL"/>
        </w:rPr>
      </w:pPr>
      <w:r>
        <w:rPr>
          <w:rFonts w:ascii="Times New Roman" w:hAnsi="Times New Roman"/>
          <w:lang w:val="sq-AL"/>
        </w:rPr>
        <w:t>6. Ngarkohet zyra e administrimit dhe e koordinimit të Parkut Kombëtar të Butrintit, në varësi të Ministrisë së Turizmit, Kulturës, Rinisë dhe Sporteve, si komitet i menaxhimit të zonës, që në bashkëpunim me institucionet e specializuara, të realizojë menaxhimin e zonës dhe të kontrollojë zbatimin e planit menaxhues.</w:t>
      </w:r>
    </w:p>
    <w:p w:rsidR="00614F29" w:rsidRDefault="00614F29" w:rsidP="00614F29">
      <w:pPr>
        <w:pStyle w:val="Paragrafi"/>
        <w:rPr>
          <w:rFonts w:ascii="Times New Roman" w:hAnsi="Times New Roman"/>
          <w:lang w:val="sq-AL"/>
        </w:rPr>
      </w:pPr>
      <w:r>
        <w:rPr>
          <w:rFonts w:ascii="Times New Roman" w:hAnsi="Times New Roman"/>
          <w:lang w:val="sq-AL"/>
        </w:rPr>
        <w:t>7. Ngarkohet Ministria e Mjedisit, Pyjeve dhe Administrimit të Ujërave dhe Ministria e Turizmit, Kulturës, Rinisë dhe Sporteve për zbatimin e këtij vendimi.</w:t>
      </w:r>
    </w:p>
    <w:p w:rsidR="00614F29" w:rsidRDefault="00614F29" w:rsidP="00614F29">
      <w:pPr>
        <w:pStyle w:val="Paragrafi"/>
        <w:rPr>
          <w:rFonts w:ascii="Times New Roman" w:hAnsi="Times New Roman"/>
          <w:lang w:val="sq-AL"/>
        </w:rPr>
      </w:pPr>
      <w:r>
        <w:rPr>
          <w:rFonts w:ascii="Times New Roman" w:hAnsi="Times New Roman"/>
          <w:lang w:val="sq-AL"/>
        </w:rPr>
        <w:t>Ky vendim hyn në fuqi pas botimit në Fletoren Zyrtare.</w:t>
      </w:r>
    </w:p>
    <w:p w:rsidR="00614F29" w:rsidRDefault="00614F29" w:rsidP="00614F29">
      <w:pPr>
        <w:pStyle w:val="Paragrafi"/>
        <w:rPr>
          <w:rFonts w:ascii="Times New Roman" w:hAnsi="Times New Roman"/>
          <w:lang w:val="sq-AL"/>
        </w:rPr>
      </w:pPr>
    </w:p>
    <w:p w:rsidR="00614F29" w:rsidRDefault="00614F29" w:rsidP="00614F29">
      <w:pPr>
        <w:pStyle w:val="Autoriteti"/>
      </w:pPr>
      <w:r>
        <w:t>Kryeministri</w:t>
      </w:r>
    </w:p>
    <w:p w:rsidR="00614F29" w:rsidRPr="003273A7" w:rsidRDefault="00614F29" w:rsidP="00614F29">
      <w:pPr>
        <w:pStyle w:val="AutoritetiEmer"/>
      </w:pPr>
      <w:r>
        <w:t>Sali Berisha</w:t>
      </w:r>
    </w:p>
    <w:p w:rsidR="00614F29" w:rsidRDefault="00614F29" w:rsidP="00614F29">
      <w:pPr>
        <w:pStyle w:val="Paragrafi"/>
        <w:rPr>
          <w:lang w:val="sq-AL"/>
        </w:rPr>
      </w:pPr>
    </w:p>
    <w:p w:rsidR="00614F29" w:rsidRDefault="00614F29" w:rsidP="00614F29">
      <w:pPr>
        <w:pStyle w:val="Paragrafi"/>
        <w:rPr>
          <w:lang w:val="sq-AL"/>
        </w:rPr>
      </w:pPr>
    </w:p>
    <w:p w:rsidR="00614F29" w:rsidRPr="00EE1EE2" w:rsidRDefault="005C0FB4" w:rsidP="00614F29">
      <w:pPr>
        <w:pStyle w:val="Paragrafi"/>
        <w:jc w:val="center"/>
        <w:rPr>
          <w:lang w:val="sq-AL"/>
        </w:rPr>
      </w:pPr>
      <w:r w:rsidRPr="0071578D">
        <w:rPr>
          <w:noProof/>
          <w:lang w:val="en-GB" w:eastAsia="en-GB"/>
        </w:rPr>
        <w:drawing>
          <wp:inline distT="0" distB="0" distL="0" distR="0">
            <wp:extent cx="4171950" cy="433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71950" cy="4333875"/>
                    </a:xfrm>
                    <a:prstGeom prst="rect">
                      <a:avLst/>
                    </a:prstGeom>
                    <a:noFill/>
                    <a:ln>
                      <a:noFill/>
                    </a:ln>
                  </pic:spPr>
                </pic:pic>
              </a:graphicData>
            </a:graphic>
          </wp:inline>
        </w:drawing>
      </w:r>
    </w:p>
    <w:p w:rsidR="00614F29" w:rsidRDefault="00614F29" w:rsidP="00614F29">
      <w:pPr>
        <w:pStyle w:val="Paragrafi"/>
        <w:rPr>
          <w:lang w:val="sq-AL"/>
        </w:rPr>
      </w:pPr>
    </w:p>
    <w:p w:rsidR="00614F29" w:rsidRDefault="00614F29" w:rsidP="00614F29">
      <w:pPr>
        <w:pStyle w:val="Akt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0FB4"/>
    <w:rsid w:val="005D4BA8"/>
    <w:rsid w:val="005E62A5"/>
    <w:rsid w:val="00607F6D"/>
    <w:rsid w:val="00614F29"/>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74C6D3-0410-4390-A454-16189265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14F29"/>
    <w:rPr>
      <w:rFonts w:ascii="CG Times" w:hAnsi="CG Times"/>
      <w:b/>
      <w:caps/>
      <w:sz w:val="22"/>
      <w:szCs w:val="22"/>
      <w:lang w:val="en-GB" w:eastAsia="en-US" w:bidi="ar-SA"/>
    </w:rPr>
  </w:style>
  <w:style w:type="character" w:customStyle="1" w:styleId="NumriDataChar">
    <w:name w:val="Numri_Data Char"/>
    <w:basedOn w:val="DefaultParagraphFont"/>
    <w:link w:val="NumriData"/>
    <w:rsid w:val="00614F29"/>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2019-03-16T18:14:00Z</dcterms:created>
  <dcterms:modified xsi:type="dcterms:W3CDTF">2019-03-16T18:14:00Z</dcterms:modified>
</cp:coreProperties>
</file>