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7C" w:rsidRPr="00F93B41" w:rsidRDefault="00842C7C" w:rsidP="00842C7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842C7C" w:rsidRPr="00F93B41" w:rsidRDefault="00842C7C" w:rsidP="00842C7C">
      <w:pPr>
        <w:pStyle w:val="NumriData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Nr.726, datë 23.11.2005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Titulli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shpronësimin, për interes publik, të pronarëve  të pasurive të paluajtshme, pronë private, të cilët preken nga ndërtimi i segmentit rrugor Qafë-Kashar-Rinas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BazLigjPropozues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Në mbështetje të nenit 100 të Kushtetutës dhe të neneve 5 pika 1, 20 e 21 të ligjit nr.8561, datë 22.12.1999 “Për shpronësimet dhe marrjen në përdorim të përkohshëm të pasurisë, pronë private, për interes publik”, me propozimin e Ministrit të Punëve Publike, Transportit dhe Telekomunikacionit, Këshilli i Ministrave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VENDOSI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Shpronësimin, për interes publik, të pronarëve të pasurive të paluajtshme, pronë private, të cilët preken nga ndërtimi i segmentit rrugor Qafë-Kashar-Rinas.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 Shpronësimi të bëhet në favor të Ministrisë së Punëve Publike, Transportit dhe Telekomunikacionit.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3. Pronarët e pasurive të paluajtshme, që shpronësohen, të kompensohen në vlerë të plotë, sipas masës përkatëse, që paraqitet në tabelën që i bashkëlidhet këtij vendimi, për sipërfaqe 157 627 m</w:t>
      </w:r>
      <w:r w:rsidRPr="00F93B41">
        <w:rPr>
          <w:sz w:val="21"/>
          <w:szCs w:val="21"/>
          <w:vertAlign w:val="superscript"/>
          <w:lang w:val="sq-AL"/>
        </w:rPr>
        <w:t>2</w:t>
      </w:r>
      <w:r w:rsidRPr="00F93B41">
        <w:rPr>
          <w:sz w:val="21"/>
          <w:szCs w:val="21"/>
          <w:lang w:val="sq-AL"/>
        </w:rPr>
        <w:t xml:space="preserve"> tokë arë, 1170 m</w:t>
      </w:r>
      <w:r w:rsidRPr="00F93B41">
        <w:rPr>
          <w:sz w:val="21"/>
          <w:szCs w:val="21"/>
          <w:vertAlign w:val="superscript"/>
          <w:lang w:val="sq-AL"/>
        </w:rPr>
        <w:t>2</w:t>
      </w:r>
      <w:r w:rsidRPr="00F93B41">
        <w:rPr>
          <w:sz w:val="21"/>
          <w:szCs w:val="21"/>
          <w:lang w:val="sq-AL"/>
        </w:rPr>
        <w:t xml:space="preserve"> tokë truall, kultura bujqësore, me vlerë 1 503 107 (një milion e pesëqind e tre mijë e njëqind e shtatë) lekë, vreshtë, me vlerë  562 212 (pesëqind e gjashtëdhjetë e dy mijë e dyqind e dymbëdhjetë) lekë, objekte, me vlerë 18 424 294 (tetëmbëdhjetë milionë e katërqind e njëzet e katër mijë e dyqind e nëntëdhjetë e katër) lekë, me një vlerë të përgjithshme shpronësimi 170 435 096 (njëqind e shtatëdhjetë milionë e katërqind e tridhjetë e pesë mijë e nëntëdhjetë e gjashtë) lekë.</w:t>
      </w:r>
    </w:p>
    <w:p w:rsidR="00842C7C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4. Vlera e shpenzimeve procedurale të jetë në shumën 1 533 728 (një milionë e pesëqind e tridhjetë e tre mijë e shtatëqind e njëzet e tetë) lekë.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5. Fondi prej 171 968 824 (njëqind e shtatëdhjetë e një milionë e nëntëqind e gjashtëdhjetë e tetë mijë e tetëqind e njëzet e katër) lekësh, për kompensimin e pronarëve dhe shpenzimet procedurale, të përballohet nga fondi i Tirana Airport Partners.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6. Shpronësimi të përfundojë brenda datës 31.12.2005.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7. Pronarët e përcaktuar në listën që i bashkëlidhet këtij vendimi, për të cilët në kolonën “Shënime” është shkruar “Konfirmim nga zyra e regjistrimit të pasurive të paluajtshme plotësim dokumentacioni”, “Pretendim pronësie”, “Rikonfirmim nga zyra e regjistrimit të pasurive të paluajtshme” dhe “Proces regjistrimi”, do ta marrin shpërblimin për efekt të shpronësimit, pasi të jenë pajisur me dokumentacionin e plotë ligjor, nga zyra e regjistrimit të pasurive të paluajtshme.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8. Ngarkohet Ministria e Punëve Publike, Transportit dhe Telekomunikacionit për zbatimin e këtij vendimi.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menjëherë dhe botohet në Fletoren Zyrtare.</w:t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Autoriteti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842C7C" w:rsidRPr="00F93B41" w:rsidRDefault="00842C7C" w:rsidP="00842C7C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 xml:space="preserve">Sali Berisha </w:t>
      </w:r>
    </w:p>
    <w:p w:rsidR="00842C7C" w:rsidRPr="00F93B41" w:rsidRDefault="00842C7C" w:rsidP="00842C7C">
      <w:pPr>
        <w:pStyle w:val="Paragrafi"/>
        <w:ind w:firstLine="0"/>
        <w:rPr>
          <w:sz w:val="21"/>
          <w:szCs w:val="21"/>
          <w:lang w:val="sq-AL"/>
        </w:rPr>
      </w:pPr>
    </w:p>
    <w:p w:rsidR="00842C7C" w:rsidRPr="00F93B41" w:rsidRDefault="00BC388C" w:rsidP="00842C7C">
      <w:pPr>
        <w:pStyle w:val="Figure"/>
        <w:rPr>
          <w:lang w:val="sq-AL"/>
        </w:rPr>
      </w:pPr>
      <w:r w:rsidRPr="00842C7C">
        <w:rPr>
          <w:noProof/>
          <w:lang w:val="en-GB" w:eastAsia="en-GB"/>
        </w:rPr>
        <w:lastRenderedPageBreak/>
        <w:drawing>
          <wp:inline distT="0" distB="0" distL="0" distR="0">
            <wp:extent cx="3505200" cy="5753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ind w:firstLine="0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ind w:firstLine="0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BC388C" w:rsidP="00842C7C">
      <w:pPr>
        <w:pStyle w:val="Figure"/>
      </w:pPr>
      <w:r w:rsidRPr="00F93B41">
        <w:rPr>
          <w:noProof/>
          <w:lang w:val="en-GB" w:eastAsia="en-GB"/>
        </w:rPr>
        <w:lastRenderedPageBreak/>
        <w:drawing>
          <wp:inline distT="0" distB="0" distL="0" distR="0">
            <wp:extent cx="3638550" cy="5753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BC388C" w:rsidP="00842C7C">
      <w:pPr>
        <w:pStyle w:val="Figure"/>
        <w:rPr>
          <w:lang w:val="sq-AL"/>
        </w:rPr>
      </w:pPr>
      <w:r w:rsidRPr="00842C7C">
        <w:rPr>
          <w:noProof/>
          <w:lang w:val="en-GB" w:eastAsia="en-GB"/>
        </w:rPr>
        <w:drawing>
          <wp:inline distT="0" distB="0" distL="0" distR="0">
            <wp:extent cx="3638550" cy="5753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BC388C" w:rsidP="00842C7C">
      <w:pPr>
        <w:pStyle w:val="Figure"/>
      </w:pPr>
      <w:r w:rsidRPr="00F93B41">
        <w:rPr>
          <w:noProof/>
          <w:lang w:val="en-GB" w:eastAsia="en-GB"/>
        </w:rPr>
        <w:drawing>
          <wp:inline distT="0" distB="0" distL="0" distR="0">
            <wp:extent cx="3638550" cy="575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BC388C" w:rsidP="00842C7C">
      <w:pPr>
        <w:pStyle w:val="Figure"/>
      </w:pPr>
      <w:r w:rsidRPr="00F93B41">
        <w:rPr>
          <w:noProof/>
          <w:lang w:val="en-GB" w:eastAsia="en-GB"/>
        </w:rPr>
        <w:drawing>
          <wp:inline distT="0" distB="0" distL="0" distR="0">
            <wp:extent cx="1323975" cy="57531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Default="00842C7C" w:rsidP="00842C7C">
      <w:pPr>
        <w:pStyle w:val="Paragrafi"/>
        <w:rPr>
          <w:sz w:val="21"/>
          <w:szCs w:val="21"/>
          <w:lang w:val="sq-AL"/>
        </w:rPr>
      </w:pPr>
    </w:p>
    <w:p w:rsidR="00842C7C" w:rsidRPr="00F93B41" w:rsidRDefault="00842C7C" w:rsidP="00842C7C">
      <w:pPr>
        <w:pStyle w:val="Paragrafi"/>
        <w:rPr>
          <w:sz w:val="21"/>
          <w:szCs w:val="21"/>
          <w:lang w:val="sq-AL"/>
        </w:rPr>
      </w:pPr>
    </w:p>
    <w:sectPr w:rsidR="00842C7C" w:rsidRPr="00F93B4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2C7C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388C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3BC3D1-BBCE-44B3-8283-66624B1C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42C7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