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19D" w:rsidRDefault="00DE319D" w:rsidP="00DE319D">
      <w:pPr>
        <w:pStyle w:val="Akti"/>
      </w:pPr>
      <w:bookmarkStart w:id="0" w:name="_GoBack"/>
      <w:bookmarkEnd w:id="0"/>
      <w:r>
        <w:t>Vendim</w:t>
      </w:r>
    </w:p>
    <w:p w:rsidR="00DE319D" w:rsidRDefault="00DE319D" w:rsidP="00DE319D">
      <w:pPr>
        <w:pStyle w:val="NumriData"/>
      </w:pPr>
      <w:r>
        <w:t>Nr.779, datë 14.12.2005</w:t>
      </w:r>
    </w:p>
    <w:p w:rsidR="00DE319D" w:rsidRPr="00EE1EFE" w:rsidRDefault="00DE319D" w:rsidP="00DE319D">
      <w:pPr>
        <w:pStyle w:val="Paragrafi"/>
        <w:rPr>
          <w:sz w:val="10"/>
          <w:lang w:val="sq-AL"/>
        </w:rPr>
      </w:pPr>
    </w:p>
    <w:p w:rsidR="00DE319D" w:rsidRDefault="00DE319D" w:rsidP="00DE319D">
      <w:pPr>
        <w:pStyle w:val="Titulli"/>
      </w:pPr>
      <w:r>
        <w:t xml:space="preserve">Për shpronësimin, për interes publik të pronarëve të pasurive të paluajtshme, pronë private, të cilat preKen nga ndërtimi i auToStradës LushnjË-Fier (Faza e Dytë) dhe për njË ndryshim në vendimin nr.784, datë 5.11.2004 të Këshillit të Ministrave “Për shpronësimin, për interes publik, të pasurive të paluajtshme, </w:t>
      </w:r>
    </w:p>
    <w:p w:rsidR="00DE319D" w:rsidRPr="00DE319D" w:rsidRDefault="00DE319D" w:rsidP="00DE319D">
      <w:pPr>
        <w:pStyle w:val="Titulli"/>
        <w:rPr>
          <w:lang w:val="it-IT"/>
        </w:rPr>
      </w:pPr>
      <w:r w:rsidRPr="00DE319D">
        <w:rPr>
          <w:lang w:val="it-IT"/>
        </w:rPr>
        <w:t xml:space="preserve">pronë private, të cilat preken nga ndërtimi i auTOstradës </w:t>
      </w:r>
    </w:p>
    <w:p w:rsidR="00DE319D" w:rsidRPr="00DE319D" w:rsidRDefault="00DE319D" w:rsidP="00DE319D">
      <w:pPr>
        <w:pStyle w:val="Titulli"/>
        <w:rPr>
          <w:lang w:val="it-IT"/>
        </w:rPr>
      </w:pPr>
      <w:r w:rsidRPr="00DE319D">
        <w:rPr>
          <w:lang w:val="it-IT"/>
        </w:rPr>
        <w:t>lushnjË-fier (faza e parë)”</w:t>
      </w:r>
    </w:p>
    <w:p w:rsidR="00DE319D" w:rsidRPr="00EE1EFE" w:rsidRDefault="00DE319D" w:rsidP="00DE319D">
      <w:pPr>
        <w:pStyle w:val="Paragrafi"/>
        <w:rPr>
          <w:sz w:val="12"/>
          <w:lang w:val="sq-AL"/>
        </w:rPr>
      </w:pPr>
    </w:p>
    <w:p w:rsidR="00DE319D" w:rsidRPr="00DE319D" w:rsidRDefault="00DE319D" w:rsidP="00DE319D">
      <w:pPr>
        <w:pStyle w:val="BazLigjPropozues"/>
        <w:rPr>
          <w:lang w:val="sq-AL"/>
        </w:rPr>
      </w:pPr>
      <w:r w:rsidRPr="00DE319D">
        <w:rPr>
          <w:lang w:val="sq-AL"/>
        </w:rPr>
        <w:t xml:space="preserve">Në mbështetje të nenit 100 të Kushtetutës, të neneve 5, pika 1,  20 e 21 të ligjit nr.8561, datë 22.12.1999 “Për shpronësimet dhe marrjen në përdorim të përkohshëm të pasurisë, pronë private, për interes publik” dhe të ligjit nr.9339, datë 21.12.2004 “Për Buxhetin e Shtetit të vitit 2005”, me propozimin e Ministrit të Punëve Publike, Transportit dhe Telekomunikacionit, Këshilli i Ministrave </w:t>
      </w:r>
    </w:p>
    <w:p w:rsidR="00DE319D" w:rsidRDefault="00DE319D" w:rsidP="00DE319D">
      <w:pPr>
        <w:pStyle w:val="Paragrafi"/>
        <w:rPr>
          <w:szCs w:val="22"/>
          <w:lang w:val="sq-AL"/>
        </w:rPr>
      </w:pPr>
    </w:p>
    <w:p w:rsidR="00DE319D" w:rsidRDefault="00DE319D" w:rsidP="00DE319D">
      <w:pPr>
        <w:pStyle w:val="Paragrafi"/>
        <w:rPr>
          <w:szCs w:val="22"/>
          <w:lang w:val="sq-AL"/>
        </w:rPr>
      </w:pPr>
    </w:p>
    <w:p w:rsidR="00DE319D" w:rsidRPr="00E37468" w:rsidRDefault="00DE319D" w:rsidP="00DE319D">
      <w:pPr>
        <w:pStyle w:val="Paragrafi"/>
        <w:rPr>
          <w:szCs w:val="22"/>
          <w:lang w:val="sq-AL"/>
        </w:rPr>
      </w:pPr>
    </w:p>
    <w:p w:rsidR="00DE319D" w:rsidRPr="00DE319D" w:rsidRDefault="00DE319D" w:rsidP="00DE319D">
      <w:pPr>
        <w:pStyle w:val="VENDOSI"/>
        <w:rPr>
          <w:lang w:val="sq-AL"/>
        </w:rPr>
      </w:pPr>
      <w:r w:rsidRPr="00DE319D">
        <w:rPr>
          <w:lang w:val="sq-AL"/>
        </w:rPr>
        <w:t>Vendosi:</w:t>
      </w:r>
    </w:p>
    <w:p w:rsidR="00DE319D" w:rsidRPr="00EE1EFE" w:rsidRDefault="00DE319D" w:rsidP="00DE319D">
      <w:pPr>
        <w:pStyle w:val="Paragrafi"/>
        <w:rPr>
          <w:sz w:val="10"/>
          <w:lang w:val="sq-AL"/>
        </w:rPr>
      </w:pPr>
    </w:p>
    <w:p w:rsidR="00DE319D" w:rsidRDefault="00DE319D" w:rsidP="00DE319D">
      <w:pPr>
        <w:pStyle w:val="Paragrafi"/>
        <w:rPr>
          <w:lang w:val="sq-AL"/>
        </w:rPr>
      </w:pPr>
      <w:r>
        <w:rPr>
          <w:lang w:val="sq-AL"/>
        </w:rPr>
        <w:t>1. Shpronësimin për interes publik të pronarëve të pasurive të paluajtshme, pronë private, që preken nga ndërtimi i autostradës Lushnjë-Fier (faza e dytë).</w:t>
      </w:r>
    </w:p>
    <w:p w:rsidR="00DE319D" w:rsidRDefault="00DE319D" w:rsidP="00DE319D">
      <w:pPr>
        <w:pStyle w:val="Paragrafi"/>
        <w:rPr>
          <w:lang w:val="sq-AL"/>
        </w:rPr>
      </w:pPr>
      <w:r>
        <w:rPr>
          <w:lang w:val="sq-AL"/>
        </w:rPr>
        <w:t>2. Shpronësimi të bëhet në favor të Ministrisë së Punëve Publike, Transportit dhe Telekomunikacionit.</w:t>
      </w:r>
    </w:p>
    <w:p w:rsidR="00DE319D" w:rsidRDefault="00DE319D" w:rsidP="00DE319D">
      <w:pPr>
        <w:pStyle w:val="Paragrafi"/>
        <w:rPr>
          <w:lang w:val="sq-AL"/>
        </w:rPr>
      </w:pPr>
      <w:r>
        <w:rPr>
          <w:lang w:val="sq-AL"/>
        </w:rPr>
        <w:t>3. Pronarët e pasurive të paluajtshme që shpronësohen, të kompensohen në vlerë të plotë, sipas masës përkatëse, që paraqitet në tabelën, që i bashkëlidhet këtij vendimi, për sipërfaqen 207 316.853 m</w:t>
      </w:r>
      <w:r w:rsidRPr="00EE1EFE">
        <w:rPr>
          <w:vertAlign w:val="superscript"/>
          <w:lang w:val="sq-AL"/>
        </w:rPr>
        <w:t>2</w:t>
      </w:r>
      <w:r>
        <w:rPr>
          <w:lang w:val="sq-AL"/>
        </w:rPr>
        <w:t xml:space="preserve"> tokë arë, me vlerë 247 196 421 (dyqind e dyzet e shtatë milionë e njëqind e nëntëdhjetë e gjashtë mijë e katërqind e njëzet e një) lekë, kulturë bujqësore, me vlerë 5 564 385 (pesë milionë e pesëqind e gjashtëdhjetë e katër mijë e treqind e tetëdhjetë e pesë) lekë, dru frutorë, me vlerë 2 200 025 (dy milionë e dyqind mijë e njëzet e pesë) lekë, objekte, me vlerë 13 332 336 (trembëdhjetë milionë e treqind e tridhjetë e dy mijë e treqind e tridhjetë e gjashtë) lekë, me vlerë të përgjigjthshme 268 293 167 (dyqind e gjashtëdhjetë e tetë milionë e dyqind e nëntëdhjetë e tre mijë e njëqind e gjashtëdhjetë e shtatë) lekë.</w:t>
      </w:r>
    </w:p>
    <w:p w:rsidR="00DE319D" w:rsidRDefault="00DE319D" w:rsidP="00DE319D">
      <w:pPr>
        <w:pStyle w:val="Paragrafi"/>
        <w:rPr>
          <w:lang w:val="sq-AL"/>
        </w:rPr>
      </w:pPr>
      <w:r>
        <w:rPr>
          <w:lang w:val="sq-AL"/>
        </w:rPr>
        <w:t>4. Vlera e përgjithshme e shpronësimit, për fazën e dytë, prej 268 293 167 (dyqind e gjashtëdhjetë e tetë milionë e dyqind e nëntëdhjetë e tre mijë e njëqind e gjashtëdhjetë e shtatë) lekësh të përballohet, si më poshtë vijon:</w:t>
      </w:r>
    </w:p>
    <w:p w:rsidR="00DE319D" w:rsidRDefault="00DE319D" w:rsidP="00DE319D">
      <w:pPr>
        <w:pStyle w:val="Paragrafi"/>
        <w:rPr>
          <w:lang w:val="sq-AL"/>
        </w:rPr>
      </w:pPr>
      <w:r>
        <w:rPr>
          <w:lang w:val="sq-AL"/>
        </w:rPr>
        <w:t>a) 64 000 000 (gjashtëdhjetë e katër milionë) lekë, nga buxheti i vitit 2005, miratuar për Ministrinë e Transportit dhe Telekomunikacionit, zëri “Investime”, fonde për objektet që nuk mund të realizohen në vitin 2005, sipas tabelës nr.1, që i bashkëlidhet këtij vendimi.</w:t>
      </w:r>
    </w:p>
    <w:p w:rsidR="00DE319D" w:rsidRDefault="00DE319D" w:rsidP="00DE319D">
      <w:pPr>
        <w:pStyle w:val="Paragrafi"/>
        <w:rPr>
          <w:lang w:val="sq-AL"/>
        </w:rPr>
      </w:pPr>
      <w:r>
        <w:rPr>
          <w:lang w:val="sq-AL"/>
        </w:rPr>
        <w:t>b) 204 293 167 (dyqind e katër milionë e dyqind e nëntëdhjetë e tre mijë e njëqind e gjashtëdhjetë e shtatë) lekë, nga buxheti i vitit 2006 i Ministrisë së Punëve Publike, Transportit dhe Telekomunikacionit.</w:t>
      </w:r>
    </w:p>
    <w:p w:rsidR="00DE319D" w:rsidRDefault="00DE319D" w:rsidP="00DE319D">
      <w:pPr>
        <w:pStyle w:val="Paragrafi"/>
        <w:rPr>
          <w:lang w:val="sq-AL"/>
        </w:rPr>
      </w:pPr>
      <w:r>
        <w:rPr>
          <w:lang w:val="sq-AL"/>
        </w:rPr>
        <w:t>5. Shpronësimi të përfundojë brenda datës 30.12.2006.</w:t>
      </w:r>
    </w:p>
    <w:p w:rsidR="00DE319D" w:rsidRDefault="00DE319D" w:rsidP="00DE319D">
      <w:pPr>
        <w:pStyle w:val="Paragrafi"/>
        <w:rPr>
          <w:lang w:val="sq-AL"/>
        </w:rPr>
      </w:pPr>
      <w:r>
        <w:rPr>
          <w:lang w:val="sq-AL"/>
        </w:rPr>
        <w:t>6. Pronarët e listës që i bashkëlidhet këtij vendimi, për të cilët në kolonën “Shënime” është shkruar “Plotësim dokumentacioni”, “Proces regjistrimi” apo “Proces gjyqësor”, do ta marrin shpërblimin, për efekt shpronësimi, pasi të jenë pajisur me dokumentacionin e plotë ligjor nga zyra e regjistrimit të pasurive të paluajtshme. Deri në atë çast paratë do të jenë të bllokuara në bankë.</w:t>
      </w:r>
    </w:p>
    <w:p w:rsidR="00DE319D" w:rsidRDefault="00DE319D" w:rsidP="00DE319D">
      <w:pPr>
        <w:pStyle w:val="Paragrafi"/>
        <w:rPr>
          <w:lang w:val="sq-AL"/>
        </w:rPr>
      </w:pPr>
      <w:r>
        <w:rPr>
          <w:lang w:val="sq-AL"/>
        </w:rPr>
        <w:t>7. Në numrin rendor 124 të tabelës që i bashkëlidhet  vendimit nr.784, datë 5.11.2004 të Këshillit të Ministrave “Për shpronësimin, për interes publik, të pasurive të paluajtshme, që preken nga ndërtimi i autostradës Lushnjë –Fier (faza e parë)”, emri “Jorgo Sabri Hatija” zëvendësohet me “Kristaq Themi Allkanjari”.</w:t>
      </w:r>
    </w:p>
    <w:p w:rsidR="00DE319D" w:rsidRDefault="00DE319D" w:rsidP="00DE319D">
      <w:pPr>
        <w:pStyle w:val="Paragrafi"/>
        <w:rPr>
          <w:lang w:val="sq-AL"/>
        </w:rPr>
      </w:pPr>
      <w:r>
        <w:rPr>
          <w:lang w:val="sq-AL"/>
        </w:rPr>
        <w:t>8. Ngarkohet Ministria e Punëve Publike, Transportit dhe Telekomunikacionit për zbatimin e këtij vendimi.</w:t>
      </w:r>
    </w:p>
    <w:p w:rsidR="00DE319D" w:rsidRDefault="00DE319D" w:rsidP="00DE319D">
      <w:pPr>
        <w:pStyle w:val="Paragrafi"/>
        <w:rPr>
          <w:lang w:val="sq-AL"/>
        </w:rPr>
      </w:pPr>
      <w:r>
        <w:rPr>
          <w:lang w:val="sq-AL"/>
        </w:rPr>
        <w:t>Ky vendim hyn në fuqi menjëherë dhe botohet në Fletoren Zyrtare.</w:t>
      </w:r>
    </w:p>
    <w:p w:rsidR="00DE319D" w:rsidRDefault="00DE319D" w:rsidP="00DE319D">
      <w:pPr>
        <w:pStyle w:val="Paragrafi"/>
        <w:rPr>
          <w:lang w:val="sq-AL"/>
        </w:rPr>
      </w:pPr>
    </w:p>
    <w:p w:rsidR="00DE319D" w:rsidRDefault="00DE319D" w:rsidP="00DE319D">
      <w:pPr>
        <w:pStyle w:val="Autoriteti"/>
      </w:pPr>
      <w:r>
        <w:lastRenderedPageBreak/>
        <w:t>Kryeministri</w:t>
      </w:r>
    </w:p>
    <w:p w:rsidR="00DE319D" w:rsidRDefault="00DE319D" w:rsidP="00DE319D">
      <w:pPr>
        <w:pStyle w:val="AutoritetiEmer"/>
      </w:pPr>
      <w:r>
        <w:t>Sali Berisha</w:t>
      </w:r>
    </w:p>
    <w:p w:rsidR="00DE319D" w:rsidRDefault="00DE319D" w:rsidP="00DE319D">
      <w:pPr>
        <w:pStyle w:val="Paragrafi"/>
        <w:rPr>
          <w:lang w:val="sq-AL"/>
        </w:rPr>
      </w:pPr>
    </w:p>
    <w:p w:rsidR="00DE319D" w:rsidRDefault="00DE319D" w:rsidP="00DE319D">
      <w:pPr>
        <w:pStyle w:val="Paragrafi"/>
        <w:rPr>
          <w:lang w:val="sq-AL"/>
        </w:rPr>
      </w:pPr>
    </w:p>
    <w:p w:rsidR="00DE319D" w:rsidRDefault="00FE58A0" w:rsidP="00DE319D">
      <w:pPr>
        <w:pStyle w:val="Paragrafi"/>
        <w:rPr>
          <w:lang w:val="sq-AL"/>
        </w:rPr>
      </w:pPr>
      <w:r>
        <w:rPr>
          <w:noProof/>
          <w:lang w:val="en-GB" w:eastAsia="en-GB"/>
        </w:rPr>
        <w:drawing>
          <wp:inline distT="0" distB="0" distL="0" distR="0">
            <wp:extent cx="4572000" cy="777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72000" cy="7772400"/>
                    </a:xfrm>
                    <a:prstGeom prst="rect">
                      <a:avLst/>
                    </a:prstGeom>
                    <a:noFill/>
                    <a:ln>
                      <a:noFill/>
                    </a:ln>
                  </pic:spPr>
                </pic:pic>
              </a:graphicData>
            </a:graphic>
          </wp:inline>
        </w:drawing>
      </w: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FE58A0" w:rsidP="00DE319D">
      <w:pPr>
        <w:pStyle w:val="Paragrafi"/>
        <w:rPr>
          <w:lang w:val="sq-AL"/>
        </w:rPr>
      </w:pPr>
      <w:r>
        <w:rPr>
          <w:noProof/>
          <w:lang w:val="en-GB" w:eastAsia="en-GB"/>
        </w:rPr>
        <w:drawing>
          <wp:inline distT="0" distB="0" distL="0" distR="0">
            <wp:extent cx="4572000" cy="81229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0" cy="8122920"/>
                    </a:xfrm>
                    <a:prstGeom prst="rect">
                      <a:avLst/>
                    </a:prstGeom>
                    <a:noFill/>
                    <a:ln>
                      <a:noFill/>
                    </a:ln>
                  </pic:spPr>
                </pic:pic>
              </a:graphicData>
            </a:graphic>
          </wp:inline>
        </w:drawing>
      </w: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FE58A0" w:rsidP="00DE319D">
      <w:pPr>
        <w:pStyle w:val="Paragrafi"/>
        <w:rPr>
          <w:lang w:val="sq-AL"/>
        </w:rPr>
      </w:pPr>
      <w:r>
        <w:rPr>
          <w:noProof/>
          <w:lang w:val="en-GB" w:eastAsia="en-GB"/>
        </w:rPr>
        <w:drawing>
          <wp:inline distT="0" distB="0" distL="0" distR="0">
            <wp:extent cx="4457700" cy="7086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57700" cy="7086600"/>
                    </a:xfrm>
                    <a:prstGeom prst="rect">
                      <a:avLst/>
                    </a:prstGeom>
                    <a:noFill/>
                    <a:ln>
                      <a:noFill/>
                    </a:ln>
                  </pic:spPr>
                </pic:pic>
              </a:graphicData>
            </a:graphic>
          </wp:inline>
        </w:drawing>
      </w: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FE58A0" w:rsidP="00DE319D">
      <w:pPr>
        <w:pStyle w:val="Paragrafi"/>
        <w:rPr>
          <w:lang w:val="sq-AL"/>
        </w:rPr>
      </w:pPr>
      <w:r>
        <w:rPr>
          <w:noProof/>
          <w:lang w:val="en-GB" w:eastAsia="en-GB"/>
        </w:rPr>
        <w:drawing>
          <wp:inline distT="0" distB="0" distL="0" distR="0">
            <wp:extent cx="4457700" cy="8008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lum contrast="-6000"/>
                      <a:extLst>
                        <a:ext uri="{28A0092B-C50C-407E-A947-70E740481C1C}">
                          <a14:useLocalDpi xmlns:a14="http://schemas.microsoft.com/office/drawing/2010/main" val="0"/>
                        </a:ext>
                      </a:extLst>
                    </a:blip>
                    <a:srcRect/>
                    <a:stretch>
                      <a:fillRect/>
                    </a:stretch>
                  </pic:blipFill>
                  <pic:spPr bwMode="auto">
                    <a:xfrm>
                      <a:off x="0" y="0"/>
                      <a:ext cx="4457700" cy="8008620"/>
                    </a:xfrm>
                    <a:prstGeom prst="rect">
                      <a:avLst/>
                    </a:prstGeom>
                    <a:noFill/>
                    <a:ln>
                      <a:noFill/>
                    </a:ln>
                  </pic:spPr>
                </pic:pic>
              </a:graphicData>
            </a:graphic>
          </wp:inline>
        </w:drawing>
      </w: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FE58A0" w:rsidP="00DE319D">
      <w:pPr>
        <w:pStyle w:val="Paragrafi"/>
        <w:rPr>
          <w:lang w:val="sq-AL"/>
        </w:rPr>
      </w:pPr>
      <w:r>
        <w:rPr>
          <w:noProof/>
          <w:lang w:val="en-GB" w:eastAsia="en-GB"/>
        </w:rPr>
        <w:drawing>
          <wp:inline distT="0" distB="0" distL="0" distR="0">
            <wp:extent cx="4343400" cy="77800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contrast="-6000"/>
                      <a:extLst>
                        <a:ext uri="{28A0092B-C50C-407E-A947-70E740481C1C}">
                          <a14:useLocalDpi xmlns:a14="http://schemas.microsoft.com/office/drawing/2010/main" val="0"/>
                        </a:ext>
                      </a:extLst>
                    </a:blip>
                    <a:srcRect/>
                    <a:stretch>
                      <a:fillRect/>
                    </a:stretch>
                  </pic:blipFill>
                  <pic:spPr bwMode="auto">
                    <a:xfrm>
                      <a:off x="0" y="0"/>
                      <a:ext cx="4343400" cy="7780020"/>
                    </a:xfrm>
                    <a:prstGeom prst="rect">
                      <a:avLst/>
                    </a:prstGeom>
                    <a:noFill/>
                    <a:ln>
                      <a:noFill/>
                    </a:ln>
                  </pic:spPr>
                </pic:pic>
              </a:graphicData>
            </a:graphic>
          </wp:inline>
        </w:drawing>
      </w: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FE58A0" w:rsidP="00DE319D">
      <w:pPr>
        <w:pStyle w:val="Paragrafi"/>
        <w:rPr>
          <w:lang w:val="sq-AL"/>
        </w:rPr>
      </w:pPr>
      <w:r>
        <w:rPr>
          <w:noProof/>
          <w:lang w:val="en-GB" w:eastAsia="en-GB"/>
        </w:rPr>
        <w:drawing>
          <wp:inline distT="0" distB="0" distL="0" distR="0">
            <wp:extent cx="4457700" cy="6858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lum contrast="-6000"/>
                      <a:extLst>
                        <a:ext uri="{28A0092B-C50C-407E-A947-70E740481C1C}">
                          <a14:useLocalDpi xmlns:a14="http://schemas.microsoft.com/office/drawing/2010/main" val="0"/>
                        </a:ext>
                      </a:extLst>
                    </a:blip>
                    <a:srcRect/>
                    <a:stretch>
                      <a:fillRect/>
                    </a:stretch>
                  </pic:blipFill>
                  <pic:spPr bwMode="auto">
                    <a:xfrm>
                      <a:off x="0" y="0"/>
                      <a:ext cx="4457700" cy="6858000"/>
                    </a:xfrm>
                    <a:prstGeom prst="rect">
                      <a:avLst/>
                    </a:prstGeom>
                    <a:noFill/>
                    <a:ln>
                      <a:noFill/>
                    </a:ln>
                  </pic:spPr>
                </pic:pic>
              </a:graphicData>
            </a:graphic>
          </wp:inline>
        </w:drawing>
      </w: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FE58A0" w:rsidP="00DE319D">
      <w:pPr>
        <w:pStyle w:val="Paragrafi"/>
        <w:rPr>
          <w:lang w:val="sq-AL"/>
        </w:rPr>
      </w:pPr>
      <w:r>
        <w:rPr>
          <w:noProof/>
          <w:lang w:val="en-GB" w:eastAsia="en-GB"/>
        </w:rPr>
        <w:drawing>
          <wp:inline distT="0" distB="0" distL="0" distR="0">
            <wp:extent cx="4343400" cy="6972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lum contrast="12000"/>
                      <a:extLst>
                        <a:ext uri="{28A0092B-C50C-407E-A947-70E740481C1C}">
                          <a14:useLocalDpi xmlns:a14="http://schemas.microsoft.com/office/drawing/2010/main" val="0"/>
                        </a:ext>
                      </a:extLst>
                    </a:blip>
                    <a:srcRect/>
                    <a:stretch>
                      <a:fillRect/>
                    </a:stretch>
                  </pic:blipFill>
                  <pic:spPr bwMode="auto">
                    <a:xfrm>
                      <a:off x="0" y="0"/>
                      <a:ext cx="4343400" cy="6972300"/>
                    </a:xfrm>
                    <a:prstGeom prst="rect">
                      <a:avLst/>
                    </a:prstGeom>
                    <a:noFill/>
                    <a:ln>
                      <a:noFill/>
                    </a:ln>
                  </pic:spPr>
                </pic:pic>
              </a:graphicData>
            </a:graphic>
          </wp:inline>
        </w:drawing>
      </w: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FE58A0" w:rsidP="00DE319D">
      <w:pPr>
        <w:pStyle w:val="Paragrafi"/>
        <w:rPr>
          <w:lang w:val="sq-AL"/>
        </w:rPr>
      </w:pPr>
      <w:r>
        <w:rPr>
          <w:noProof/>
          <w:lang w:val="en-GB" w:eastAsia="en-GB"/>
        </w:rPr>
        <w:drawing>
          <wp:inline distT="0" distB="0" distL="0" distR="0">
            <wp:extent cx="4457700" cy="7429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57700" cy="7429500"/>
                    </a:xfrm>
                    <a:prstGeom prst="rect">
                      <a:avLst/>
                    </a:prstGeom>
                    <a:noFill/>
                    <a:ln>
                      <a:noFill/>
                    </a:ln>
                  </pic:spPr>
                </pic:pic>
              </a:graphicData>
            </a:graphic>
          </wp:inline>
        </w:drawing>
      </w: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FE58A0" w:rsidP="00DE319D">
      <w:pPr>
        <w:pStyle w:val="Paragrafi"/>
        <w:rPr>
          <w:lang w:val="sq-AL"/>
        </w:rPr>
      </w:pPr>
      <w:r>
        <w:rPr>
          <w:noProof/>
          <w:lang w:val="en-GB" w:eastAsia="en-GB"/>
        </w:rPr>
        <w:drawing>
          <wp:inline distT="0" distB="0" distL="0" distR="0">
            <wp:extent cx="4572000" cy="7429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lum contrast="-6000"/>
                      <a:extLst>
                        <a:ext uri="{28A0092B-C50C-407E-A947-70E740481C1C}">
                          <a14:useLocalDpi xmlns:a14="http://schemas.microsoft.com/office/drawing/2010/main" val="0"/>
                        </a:ext>
                      </a:extLst>
                    </a:blip>
                    <a:srcRect/>
                    <a:stretch>
                      <a:fillRect/>
                    </a:stretch>
                  </pic:blipFill>
                  <pic:spPr bwMode="auto">
                    <a:xfrm>
                      <a:off x="0" y="0"/>
                      <a:ext cx="4572000" cy="7429500"/>
                    </a:xfrm>
                    <a:prstGeom prst="rect">
                      <a:avLst/>
                    </a:prstGeom>
                    <a:noFill/>
                    <a:ln>
                      <a:noFill/>
                    </a:ln>
                  </pic:spPr>
                </pic:pic>
              </a:graphicData>
            </a:graphic>
          </wp:inline>
        </w:drawing>
      </w: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FE58A0" w:rsidP="00DE319D">
      <w:pPr>
        <w:pStyle w:val="Paragrafi"/>
        <w:rPr>
          <w:lang w:val="sq-AL"/>
        </w:rPr>
      </w:pPr>
      <w:r>
        <w:rPr>
          <w:noProof/>
          <w:lang w:val="en-GB" w:eastAsia="en-GB"/>
        </w:rPr>
        <w:drawing>
          <wp:inline distT="0" distB="0" distL="0" distR="0">
            <wp:extent cx="4800600" cy="7543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00600" cy="7543800"/>
                    </a:xfrm>
                    <a:prstGeom prst="rect">
                      <a:avLst/>
                    </a:prstGeom>
                    <a:noFill/>
                    <a:ln>
                      <a:noFill/>
                    </a:ln>
                  </pic:spPr>
                </pic:pic>
              </a:graphicData>
            </a:graphic>
          </wp:inline>
        </w:drawing>
      </w: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FE58A0" w:rsidP="00DE319D">
      <w:pPr>
        <w:pStyle w:val="Paragrafi"/>
        <w:rPr>
          <w:lang w:val="sq-AL"/>
        </w:rPr>
      </w:pPr>
      <w:r>
        <w:rPr>
          <w:noProof/>
          <w:lang w:val="en-GB" w:eastAsia="en-GB"/>
        </w:rPr>
        <w:drawing>
          <wp:inline distT="0" distB="0" distL="0" distR="0">
            <wp:extent cx="4800600" cy="7886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lum contrast="-6000"/>
                      <a:extLst>
                        <a:ext uri="{28A0092B-C50C-407E-A947-70E740481C1C}">
                          <a14:useLocalDpi xmlns:a14="http://schemas.microsoft.com/office/drawing/2010/main" val="0"/>
                        </a:ext>
                      </a:extLst>
                    </a:blip>
                    <a:srcRect/>
                    <a:stretch>
                      <a:fillRect/>
                    </a:stretch>
                  </pic:blipFill>
                  <pic:spPr bwMode="auto">
                    <a:xfrm>
                      <a:off x="0" y="0"/>
                      <a:ext cx="4800600" cy="7886700"/>
                    </a:xfrm>
                    <a:prstGeom prst="rect">
                      <a:avLst/>
                    </a:prstGeom>
                    <a:noFill/>
                    <a:ln>
                      <a:noFill/>
                    </a:ln>
                  </pic:spPr>
                </pic:pic>
              </a:graphicData>
            </a:graphic>
          </wp:inline>
        </w:drawing>
      </w: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FE58A0" w:rsidP="00DE319D">
      <w:pPr>
        <w:pStyle w:val="Paragrafi"/>
        <w:rPr>
          <w:lang w:val="sq-AL"/>
        </w:rPr>
      </w:pPr>
      <w:r>
        <w:rPr>
          <w:noProof/>
          <w:lang w:val="en-GB" w:eastAsia="en-GB"/>
        </w:rPr>
        <w:drawing>
          <wp:inline distT="0" distB="0" distL="0" distR="0">
            <wp:extent cx="4457700" cy="81762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lum contrast="-6000"/>
                      <a:extLst>
                        <a:ext uri="{28A0092B-C50C-407E-A947-70E740481C1C}">
                          <a14:useLocalDpi xmlns:a14="http://schemas.microsoft.com/office/drawing/2010/main" val="0"/>
                        </a:ext>
                      </a:extLst>
                    </a:blip>
                    <a:srcRect/>
                    <a:stretch>
                      <a:fillRect/>
                    </a:stretch>
                  </pic:blipFill>
                  <pic:spPr bwMode="auto">
                    <a:xfrm>
                      <a:off x="0" y="0"/>
                      <a:ext cx="4457700" cy="8176260"/>
                    </a:xfrm>
                    <a:prstGeom prst="rect">
                      <a:avLst/>
                    </a:prstGeom>
                    <a:noFill/>
                    <a:ln>
                      <a:noFill/>
                    </a:ln>
                  </pic:spPr>
                </pic:pic>
              </a:graphicData>
            </a:graphic>
          </wp:inline>
        </w:drawing>
      </w: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FE58A0" w:rsidP="00DE319D">
      <w:pPr>
        <w:pStyle w:val="Paragrafi"/>
        <w:rPr>
          <w:lang w:val="sq-AL"/>
        </w:rPr>
      </w:pPr>
      <w:r>
        <w:rPr>
          <w:noProof/>
          <w:lang w:val="en-GB" w:eastAsia="en-GB"/>
        </w:rPr>
        <w:drawing>
          <wp:inline distT="0" distB="0" distL="0" distR="0">
            <wp:extent cx="4686300" cy="7658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lum contrast="-6000"/>
                      <a:extLst>
                        <a:ext uri="{28A0092B-C50C-407E-A947-70E740481C1C}">
                          <a14:useLocalDpi xmlns:a14="http://schemas.microsoft.com/office/drawing/2010/main" val="0"/>
                        </a:ext>
                      </a:extLst>
                    </a:blip>
                    <a:srcRect/>
                    <a:stretch>
                      <a:fillRect/>
                    </a:stretch>
                  </pic:blipFill>
                  <pic:spPr bwMode="auto">
                    <a:xfrm>
                      <a:off x="0" y="0"/>
                      <a:ext cx="4686300" cy="7658100"/>
                    </a:xfrm>
                    <a:prstGeom prst="rect">
                      <a:avLst/>
                    </a:prstGeom>
                    <a:noFill/>
                    <a:ln>
                      <a:noFill/>
                    </a:ln>
                  </pic:spPr>
                </pic:pic>
              </a:graphicData>
            </a:graphic>
          </wp:inline>
        </w:drawing>
      </w: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FE58A0" w:rsidP="00DE319D">
      <w:pPr>
        <w:pStyle w:val="Paragrafi"/>
        <w:rPr>
          <w:lang w:val="sq-AL"/>
        </w:rPr>
      </w:pPr>
      <w:r>
        <w:rPr>
          <w:noProof/>
          <w:lang w:val="en-GB" w:eastAsia="en-GB"/>
        </w:rPr>
        <w:drawing>
          <wp:inline distT="0" distB="0" distL="0" distR="0">
            <wp:extent cx="4572000" cy="7772400"/>
            <wp:effectExtent l="0" t="0" r="0"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00" cy="7772400"/>
                    </a:xfrm>
                    <a:prstGeom prst="rect">
                      <a:avLst/>
                    </a:prstGeom>
                    <a:noFill/>
                    <a:ln>
                      <a:noFill/>
                    </a:ln>
                  </pic:spPr>
                </pic:pic>
              </a:graphicData>
            </a:graphic>
          </wp:inline>
        </w:drawing>
      </w: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FE58A0" w:rsidP="00DE319D">
      <w:pPr>
        <w:pStyle w:val="Paragrafi"/>
        <w:rPr>
          <w:lang w:val="sq-AL"/>
        </w:rPr>
      </w:pPr>
      <w:r>
        <w:rPr>
          <w:noProof/>
          <w:lang w:val="en-GB" w:eastAsia="en-GB"/>
        </w:rPr>
        <w:drawing>
          <wp:inline distT="0" distB="0" distL="0" distR="0">
            <wp:extent cx="2971800" cy="8115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1800" cy="8115300"/>
                    </a:xfrm>
                    <a:prstGeom prst="rect">
                      <a:avLst/>
                    </a:prstGeom>
                    <a:noFill/>
                    <a:ln>
                      <a:noFill/>
                    </a:ln>
                  </pic:spPr>
                </pic:pic>
              </a:graphicData>
            </a:graphic>
          </wp:inline>
        </w:drawing>
      </w: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DE319D" w:rsidP="00DE319D">
      <w:pPr>
        <w:pStyle w:val="Paragrafi"/>
        <w:rPr>
          <w:lang w:val="sq-AL"/>
        </w:rPr>
      </w:pPr>
    </w:p>
    <w:p w:rsidR="00DE319D" w:rsidRDefault="00FE58A0" w:rsidP="00DE319D">
      <w:pPr>
        <w:pStyle w:val="Figure"/>
      </w:pPr>
      <w:r w:rsidRPr="007B4286">
        <w:rPr>
          <w:noProof/>
          <w:lang w:val="en-GB" w:eastAsia="en-GB"/>
        </w:rPr>
        <w:drawing>
          <wp:inline distT="0" distB="0" distL="0" distR="0">
            <wp:extent cx="5753100" cy="49149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4914900"/>
                    </a:xfrm>
                    <a:prstGeom prst="rect">
                      <a:avLst/>
                    </a:prstGeom>
                    <a:noFill/>
                    <a:ln>
                      <a:noFill/>
                    </a:ln>
                  </pic:spPr>
                </pic:pic>
              </a:graphicData>
            </a:graphic>
          </wp:inline>
        </w:drawing>
      </w:r>
    </w:p>
    <w:p w:rsidR="00DE319D" w:rsidRDefault="00DE319D" w:rsidP="00DE319D">
      <w:pPr>
        <w:widowControl w:val="0"/>
        <w:rPr>
          <w:lang w:val="en-US"/>
        </w:rPr>
      </w:pPr>
    </w:p>
    <w:p w:rsidR="00DE319D" w:rsidRDefault="00DE319D" w:rsidP="00DE319D">
      <w:pPr>
        <w:widowControl w:val="0"/>
        <w:rPr>
          <w:lang w:val="en-US"/>
        </w:rPr>
      </w:pPr>
    </w:p>
    <w:p w:rsidR="00DE319D" w:rsidRDefault="00DE319D" w:rsidP="00DE319D">
      <w:pPr>
        <w:widowControl w:val="0"/>
        <w:rPr>
          <w:lang w:val="en-US"/>
        </w:rPr>
      </w:pPr>
    </w:p>
    <w:p w:rsidR="00DE319D" w:rsidRPr="00041311" w:rsidRDefault="00DE319D" w:rsidP="00DE319D">
      <w:pPr>
        <w:widowControl w:val="0"/>
        <w:rPr>
          <w:lang w:val="en-US"/>
        </w:rPr>
      </w:pPr>
    </w:p>
    <w:p w:rsidR="00DE319D" w:rsidRDefault="00DE319D" w:rsidP="00DE319D">
      <w:pPr>
        <w:pStyle w:val="Akti"/>
        <w:keepNext w:val="0"/>
      </w:pPr>
    </w:p>
    <w:p w:rsidR="00DE319D" w:rsidRDefault="00DE319D" w:rsidP="00DE319D">
      <w:pPr>
        <w:pStyle w:val="Akti"/>
        <w:keepNext w:val="0"/>
      </w:pPr>
    </w:p>
    <w:p w:rsidR="00DE319D" w:rsidRDefault="00DE319D" w:rsidP="00DE319D">
      <w:pPr>
        <w:pStyle w:val="Akti"/>
        <w:keepNext w:val="0"/>
      </w:pPr>
    </w:p>
    <w:p w:rsidR="00DE319D" w:rsidRDefault="00DE319D" w:rsidP="00DE319D">
      <w:pPr>
        <w:pStyle w:val="Akti"/>
        <w:keepNext w:val="0"/>
      </w:pPr>
    </w:p>
    <w:p w:rsidR="00DE319D" w:rsidRDefault="00DE319D" w:rsidP="00DE319D">
      <w:pPr>
        <w:pStyle w:val="Akti"/>
        <w:keepNext w:val="0"/>
      </w:pPr>
    </w:p>
    <w:p w:rsidR="00DE319D" w:rsidRDefault="00DE319D" w:rsidP="00DE319D">
      <w:pPr>
        <w:pStyle w:val="Akti"/>
        <w:keepNext w:val="0"/>
      </w:pPr>
    </w:p>
    <w:p w:rsidR="00DE319D" w:rsidRDefault="00DE319D" w:rsidP="00DE319D">
      <w:pPr>
        <w:pStyle w:val="Akti"/>
        <w:keepNext w:val="0"/>
      </w:pPr>
    </w:p>
    <w:p w:rsidR="00DE319D" w:rsidRDefault="00DE319D" w:rsidP="00DE319D">
      <w:pPr>
        <w:pStyle w:val="Akti"/>
        <w:keepNext w:val="0"/>
      </w:pPr>
    </w:p>
    <w:p w:rsidR="00DE319D" w:rsidRDefault="00DE319D" w:rsidP="00DE319D">
      <w:pPr>
        <w:pStyle w:val="Akti"/>
        <w:keepNext w:val="0"/>
      </w:pPr>
    </w:p>
    <w:p w:rsidR="00DE319D" w:rsidRDefault="00DE319D" w:rsidP="00DE319D">
      <w:pPr>
        <w:pStyle w:val="Akti"/>
        <w:keepNext w:val="0"/>
      </w:pPr>
    </w:p>
    <w:p w:rsidR="00DE319D" w:rsidRDefault="00DE319D" w:rsidP="00DE319D">
      <w:pPr>
        <w:pStyle w:val="Akti"/>
        <w:keepNext w:val="0"/>
      </w:pPr>
    </w:p>
    <w:p w:rsidR="00DE319D" w:rsidRDefault="00DE319D" w:rsidP="00DE319D">
      <w:pPr>
        <w:pStyle w:val="Akti"/>
        <w:keepNext w:val="0"/>
      </w:pPr>
    </w:p>
    <w:p w:rsidR="00DE319D" w:rsidRDefault="00DE319D" w:rsidP="00DE319D">
      <w:pPr>
        <w:pStyle w:val="Akti"/>
        <w:keepNext w:val="0"/>
      </w:pPr>
    </w:p>
    <w:p w:rsidR="00DE319D" w:rsidRDefault="00DE319D" w:rsidP="00DE319D">
      <w:pPr>
        <w:pStyle w:val="Akti"/>
        <w:keepNext w:val="0"/>
      </w:pPr>
    </w:p>
    <w:p w:rsidR="00DE319D" w:rsidRDefault="00DE319D" w:rsidP="00DE319D">
      <w:pPr>
        <w:pStyle w:val="Akti"/>
        <w:keepNext w:val="0"/>
      </w:pPr>
    </w:p>
    <w:p w:rsidR="00DE319D" w:rsidRDefault="00DE319D" w:rsidP="00DE319D">
      <w:pPr>
        <w:pStyle w:val="Akti"/>
        <w:keepNext w:val="0"/>
      </w:pPr>
    </w:p>
    <w:p w:rsidR="00DE319D" w:rsidRDefault="00DE319D" w:rsidP="00DE319D">
      <w:pPr>
        <w:pStyle w:val="Akti"/>
        <w:keepNext w:val="0"/>
      </w:pPr>
    </w:p>
    <w:p w:rsidR="00A0784B" w:rsidRPr="00EE1EE2" w:rsidRDefault="00A0784B" w:rsidP="00116978">
      <w:pPr>
        <w:pStyle w:val="Paragrafi"/>
        <w:rPr>
          <w:lang w:val="sq-AL"/>
        </w:rPr>
      </w:pPr>
    </w:p>
    <w:sectPr w:rsidR="00A0784B" w:rsidRPr="00EE1EE2"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43147"/>
    <w:rsid w:val="00544065"/>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12961"/>
    <w:rsid w:val="009C29DF"/>
    <w:rsid w:val="009F72BC"/>
    <w:rsid w:val="00A0784B"/>
    <w:rsid w:val="00A246D1"/>
    <w:rsid w:val="00A33493"/>
    <w:rsid w:val="00A923BE"/>
    <w:rsid w:val="00AA3124"/>
    <w:rsid w:val="00AA4D4B"/>
    <w:rsid w:val="00AA5B50"/>
    <w:rsid w:val="00B533E4"/>
    <w:rsid w:val="00BB5AB5"/>
    <w:rsid w:val="00BC6B73"/>
    <w:rsid w:val="00C22BA7"/>
    <w:rsid w:val="00C36B40"/>
    <w:rsid w:val="00C76FF8"/>
    <w:rsid w:val="00C7710C"/>
    <w:rsid w:val="00D1319A"/>
    <w:rsid w:val="00D92AC6"/>
    <w:rsid w:val="00DC64E5"/>
    <w:rsid w:val="00DE319D"/>
    <w:rsid w:val="00E06AA7"/>
    <w:rsid w:val="00E624E2"/>
    <w:rsid w:val="00E645E3"/>
    <w:rsid w:val="00EA206E"/>
    <w:rsid w:val="00EE1EE2"/>
    <w:rsid w:val="00EE2805"/>
    <w:rsid w:val="00F15D98"/>
    <w:rsid w:val="00F52BF2"/>
    <w:rsid w:val="00F55282"/>
    <w:rsid w:val="00F95181"/>
    <w:rsid w:val="00FB705B"/>
    <w:rsid w:val="00FD4FC8"/>
    <w:rsid w:val="00FE58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890441A-DC70-433C-8DA0-0BED4FB1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19D"/>
    <w:rPr>
      <w:sz w:val="24"/>
      <w:szCs w:val="30"/>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DE319D"/>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558</Words>
  <Characters>3183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dcterms:created xsi:type="dcterms:W3CDTF">2019-03-16T18:38:00Z</dcterms:created>
  <dcterms:modified xsi:type="dcterms:W3CDTF">2019-03-16T18:38:00Z</dcterms:modified>
</cp:coreProperties>
</file>