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0A4" w:rsidRPr="00440B55" w:rsidRDefault="006A00A4" w:rsidP="006A00A4">
      <w:pPr>
        <w:pStyle w:val="Akti"/>
      </w:pPr>
      <w:bookmarkStart w:id="0" w:name="_GoBack"/>
      <w:bookmarkEnd w:id="0"/>
      <w:r w:rsidRPr="00440B55">
        <w:t>Vendim</w:t>
      </w:r>
    </w:p>
    <w:p w:rsidR="006A00A4" w:rsidRPr="00440B55" w:rsidRDefault="006A00A4" w:rsidP="006A00A4">
      <w:pPr>
        <w:pStyle w:val="NumriData"/>
      </w:pPr>
      <w:r w:rsidRPr="00440B55">
        <w:t>Nr.35, datë 18.1.2006</w:t>
      </w:r>
    </w:p>
    <w:p w:rsidR="006A00A4" w:rsidRPr="00440B55" w:rsidRDefault="006A00A4" w:rsidP="006A00A4">
      <w:pPr>
        <w:pStyle w:val="Paragrafi"/>
        <w:rPr>
          <w:lang w:val="sq-AL"/>
        </w:rPr>
      </w:pPr>
    </w:p>
    <w:p w:rsidR="006A00A4" w:rsidRPr="00440B55" w:rsidRDefault="006A00A4" w:rsidP="006A00A4">
      <w:pPr>
        <w:pStyle w:val="Titulli"/>
      </w:pPr>
      <w:r w:rsidRPr="00440B55">
        <w:t>Për miratimin e rregullores për punimet e ndërtimit të sistemeve të kanalizimeve, për laRgimin e ujërave të përdorimit shtëpiak</w:t>
      </w:r>
    </w:p>
    <w:p w:rsidR="006A00A4" w:rsidRPr="00440B55" w:rsidRDefault="006A00A4" w:rsidP="006A00A4">
      <w:pPr>
        <w:pStyle w:val="Paragrafi"/>
        <w:rPr>
          <w:lang w:val="sq-AL"/>
        </w:rPr>
      </w:pPr>
    </w:p>
    <w:p w:rsidR="006A00A4" w:rsidRPr="00440B55" w:rsidRDefault="006A00A4" w:rsidP="006A00A4">
      <w:pPr>
        <w:pStyle w:val="BazLigjPropozues"/>
      </w:pPr>
      <w:r w:rsidRPr="00440B55">
        <w:t xml:space="preserve">Në mbështetje të nenit 100 të Kushtetutës, të neneve 4 e 25 të ligjit nr.9290, datë 7.10.2004 “Për produktet e ndërtimit” dhe të nenit 4 të </w:t>
      </w:r>
      <w:r>
        <w:t xml:space="preserve">ligjit nr.8402, </w:t>
      </w:r>
      <w:r w:rsidRPr="00440B55">
        <w:t>datë 10.9.1998 “Për kontrollin dhe disiplinimin e punimeve të ndërtimit”, me propozimin e Ministrit të Punëve Publike, Transportit dhe Telekomunikacionit, Këshilli i Ministrave</w:t>
      </w:r>
    </w:p>
    <w:p w:rsidR="006A00A4" w:rsidRPr="00440B55" w:rsidRDefault="006A00A4" w:rsidP="006A00A4">
      <w:pPr>
        <w:pStyle w:val="Paragrafi"/>
        <w:rPr>
          <w:lang w:val="sq-AL"/>
        </w:rPr>
      </w:pPr>
    </w:p>
    <w:p w:rsidR="006A00A4" w:rsidRPr="00440B55" w:rsidRDefault="006A00A4" w:rsidP="006A00A4">
      <w:pPr>
        <w:pStyle w:val="VENDOSI"/>
      </w:pPr>
      <w:r w:rsidRPr="00440B55">
        <w:t>Vendosi:</w:t>
      </w:r>
    </w:p>
    <w:p w:rsidR="006A00A4" w:rsidRPr="00440B55" w:rsidRDefault="006A00A4" w:rsidP="006A00A4">
      <w:pPr>
        <w:pStyle w:val="Paragrafi"/>
        <w:rPr>
          <w:lang w:val="sq-AL"/>
        </w:rPr>
      </w:pPr>
    </w:p>
    <w:p w:rsidR="006A00A4" w:rsidRPr="00440B55" w:rsidRDefault="006A00A4" w:rsidP="006A00A4">
      <w:pPr>
        <w:pStyle w:val="Paragrafi"/>
        <w:rPr>
          <w:lang w:val="sq-AL"/>
        </w:rPr>
      </w:pPr>
      <w:r w:rsidRPr="00440B55">
        <w:rPr>
          <w:lang w:val="sq-AL"/>
        </w:rPr>
        <w:t>1. Miratimin e rregullores për punimet e ndërtimit të sistemeve të kanalizimeve, për largimin e ujërave të përdorimit shtëpiak, sipas tekstit që i bashkëlidhet këtij vendimi.</w:t>
      </w:r>
    </w:p>
    <w:p w:rsidR="006A00A4" w:rsidRPr="00440B55" w:rsidRDefault="006A00A4" w:rsidP="006A00A4">
      <w:pPr>
        <w:pStyle w:val="Paragrafi"/>
        <w:rPr>
          <w:lang w:val="sq-AL"/>
        </w:rPr>
      </w:pPr>
      <w:r w:rsidRPr="00440B55">
        <w:rPr>
          <w:lang w:val="sq-AL"/>
        </w:rPr>
        <w:t>2. Ngarkohet Ministria e Punëve Publike, Transportit dhe Telekomunikacionit për zbatimin e këtij vendimit.</w:t>
      </w:r>
    </w:p>
    <w:p w:rsidR="006A00A4" w:rsidRPr="00440B55" w:rsidRDefault="006A00A4" w:rsidP="006A00A4">
      <w:pPr>
        <w:pStyle w:val="Paragrafi"/>
        <w:rPr>
          <w:lang w:val="sq-AL"/>
        </w:rPr>
      </w:pPr>
      <w:r w:rsidRPr="00440B55">
        <w:rPr>
          <w:lang w:val="sq-AL"/>
        </w:rPr>
        <w:t>Ky vendim hyn në fuqi pas botimit në Fletoren Zyrtare.</w:t>
      </w:r>
    </w:p>
    <w:p w:rsidR="006A00A4" w:rsidRPr="00440B55" w:rsidRDefault="006A00A4" w:rsidP="006A00A4">
      <w:pPr>
        <w:pStyle w:val="Paragrafi"/>
        <w:rPr>
          <w:lang w:val="sq-AL"/>
        </w:rPr>
      </w:pPr>
    </w:p>
    <w:p w:rsidR="006A00A4" w:rsidRPr="00440B55" w:rsidRDefault="006A00A4" w:rsidP="006A00A4">
      <w:pPr>
        <w:pStyle w:val="Autoriteti"/>
      </w:pPr>
      <w:r w:rsidRPr="00440B55">
        <w:t>Kryeministri</w:t>
      </w:r>
    </w:p>
    <w:p w:rsidR="006A00A4" w:rsidRPr="00440B55" w:rsidRDefault="006A00A4" w:rsidP="006A00A4">
      <w:pPr>
        <w:pStyle w:val="AutoritetiEmer"/>
      </w:pPr>
      <w:r w:rsidRPr="00440B55">
        <w:t>Sali Berisha</w:t>
      </w:r>
    </w:p>
    <w:p w:rsidR="006A00A4" w:rsidRPr="00440B55" w:rsidRDefault="006A00A4" w:rsidP="006A00A4">
      <w:pPr>
        <w:pStyle w:val="Paragrafi"/>
        <w:rPr>
          <w:lang w:val="sq-AL"/>
        </w:rPr>
      </w:pPr>
    </w:p>
    <w:p w:rsidR="006A00A4" w:rsidRPr="00440B55" w:rsidRDefault="006A00A4" w:rsidP="006A00A4">
      <w:pPr>
        <w:pStyle w:val="Titulli"/>
      </w:pPr>
      <w:r w:rsidRPr="00440B55">
        <w:t xml:space="preserve">Rregullore </w:t>
      </w:r>
    </w:p>
    <w:p w:rsidR="006A00A4" w:rsidRPr="00440B55" w:rsidRDefault="006A00A4" w:rsidP="006A00A4">
      <w:pPr>
        <w:pStyle w:val="TitulliTitull"/>
      </w:pPr>
      <w:r w:rsidRPr="00440B55">
        <w:t>për punimet e ndërtimit të sistemeve të kanalizimeve për largimin e ujËrave të përdorimit shtëpiak</w:t>
      </w:r>
    </w:p>
    <w:p w:rsidR="006A00A4" w:rsidRPr="00440B55" w:rsidRDefault="006A00A4" w:rsidP="006A00A4">
      <w:pPr>
        <w:pStyle w:val="Paragrafi"/>
        <w:rPr>
          <w:lang w:val="sq-AL"/>
        </w:rPr>
      </w:pPr>
    </w:p>
    <w:p w:rsidR="006A00A4" w:rsidRPr="00440B55" w:rsidRDefault="006A00A4" w:rsidP="006A00A4">
      <w:pPr>
        <w:pStyle w:val="Paragrafi"/>
        <w:jc w:val="center"/>
        <w:rPr>
          <w:lang w:val="sq-AL"/>
        </w:rPr>
      </w:pPr>
      <w:r w:rsidRPr="00440B55">
        <w:rPr>
          <w:lang w:val="sq-AL"/>
        </w:rPr>
        <w:t>TË PËRGJITHSHME</w:t>
      </w:r>
    </w:p>
    <w:p w:rsidR="006A00A4" w:rsidRPr="00440B55" w:rsidRDefault="006A00A4" w:rsidP="006A00A4">
      <w:pPr>
        <w:pStyle w:val="Paragrafi"/>
        <w:rPr>
          <w:lang w:val="sq-AL"/>
        </w:rPr>
      </w:pPr>
    </w:p>
    <w:p w:rsidR="006A00A4" w:rsidRPr="00440B55" w:rsidRDefault="006A00A4" w:rsidP="006A00A4">
      <w:pPr>
        <w:pStyle w:val="Paragrafi"/>
        <w:rPr>
          <w:lang w:val="sq-AL"/>
        </w:rPr>
      </w:pPr>
      <w:r w:rsidRPr="00440B55">
        <w:rPr>
          <w:lang w:val="sq-AL"/>
        </w:rPr>
        <w:t>a) Hyrje</w:t>
      </w:r>
    </w:p>
    <w:p w:rsidR="006A00A4" w:rsidRPr="00440B55" w:rsidRDefault="006A00A4" w:rsidP="006A00A4">
      <w:pPr>
        <w:pStyle w:val="Paragrafi"/>
        <w:rPr>
          <w:lang w:val="sq-AL"/>
        </w:rPr>
      </w:pPr>
      <w:r w:rsidRPr="00440B55">
        <w:rPr>
          <w:lang w:val="sq-AL"/>
        </w:rPr>
        <w:t>Në godinat e banimit është i domosdoshëm largimi i ujërave të përdorimit shtëpiak që vijnë nga vende të ndryshme përdorimi. Regjimi i shkarkimit të këtyre ujërave është kryesisht i ndërprerë dhe temperatura e tyre është shumë e ndryshueshme e mund të arri</w:t>
      </w:r>
      <w:r>
        <w:rPr>
          <w:lang w:val="sq-AL"/>
        </w:rPr>
        <w:t>jë deri në 100</w:t>
      </w:r>
      <w:r w:rsidRPr="00440B55">
        <w:rPr>
          <w:lang w:val="sq-AL"/>
        </w:rPr>
        <w:t>°C.</w:t>
      </w:r>
    </w:p>
    <w:p w:rsidR="006A00A4" w:rsidRPr="00440B55" w:rsidRDefault="006A00A4" w:rsidP="006A00A4">
      <w:pPr>
        <w:pStyle w:val="Paragrafi"/>
        <w:rPr>
          <w:lang w:val="sq-AL"/>
        </w:rPr>
      </w:pPr>
      <w:r w:rsidRPr="00440B55">
        <w:rPr>
          <w:lang w:val="sq-AL"/>
        </w:rPr>
        <w:t>Tubat largojnë përgjithësisht ujin pa presion dhe paretet e tyre të brendshme mund të lagen krejtësisht ose pjesërisht.</w:t>
      </w:r>
    </w:p>
    <w:p w:rsidR="006A00A4" w:rsidRPr="00440B55" w:rsidRDefault="006A00A4" w:rsidP="006A00A4">
      <w:pPr>
        <w:pStyle w:val="Paragrafi"/>
        <w:rPr>
          <w:lang w:val="sq-AL"/>
        </w:rPr>
      </w:pPr>
      <w:r w:rsidRPr="00440B55">
        <w:rPr>
          <w:lang w:val="sq-AL"/>
        </w:rPr>
        <w:t>Bashkësia e tubacioneve (tubo, rakorder</w:t>
      </w:r>
      <w:r>
        <w:rPr>
          <w:lang w:val="sq-AL"/>
        </w:rPr>
        <w:t>i të ndryshme, pjesë</w:t>
      </w:r>
      <w:r w:rsidRPr="00440B55">
        <w:rPr>
          <w:lang w:val="sq-AL"/>
        </w:rPr>
        <w:t xml:space="preserve"> speciale), me të cilat pajisen godinat e banimit për këtë qëllim, duhet t’i rezistojnë sforcimeve që ndodhin gjatë regjimit të shkarkimit. Tubacionet detyrimisht nuk duhet të jenë transparent</w:t>
      </w:r>
      <w:r>
        <w:rPr>
          <w:lang w:val="sq-AL"/>
        </w:rPr>
        <w:t>e,</w:t>
      </w:r>
      <w:r w:rsidRPr="00440B55">
        <w:rPr>
          <w:lang w:val="sq-AL"/>
        </w:rPr>
        <w:t xml:space="preserve"> dhe mënyra e vendosjes varet nga natyra e materialit, tubacionet mund të jenë: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me vendosje verti</w:t>
      </w:r>
      <w:r>
        <w:rPr>
          <w:lang w:val="it-IT"/>
        </w:rPr>
        <w:t>kale ose horizontale, që lejojnë</w:t>
      </w:r>
      <w:r w:rsidRPr="00440B55">
        <w:rPr>
          <w:lang w:val="it-IT"/>
        </w:rPr>
        <w:t xml:space="preserve"> largimin me gravitet;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që i nënshtrohen sforcimeve të temperaturës dhe prurjeve shumë të ndryshueshme.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Kjo rregullore i përket si tubave që shërbejnë për largimin e ujërave të përdorimit shtëpiak, ashtu edhe tubacioneve të shkarkimit të ujërave të shiut në godina, dhe nuk përcakton përmasat e tyre.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Rregullorja i referohet tubacioneve të vendosura në brendësi të godinave apo edhe atyre jashtë godinës në masën që lejojnë kushtet klimaterike. Aparatet e ndryshme sanitare dhe ullukët e çative nuk janë objekt i kësaj rregulloreje. Gjithashtu, në këtë rregullore nuk janë marrë në konsideratë sistemet e largimit të ujërave të ndotura si pasojë e përdorimit të tyre industrial ose të këtij lloji.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Në rastet për të cilat rregullat teknike ose autoritetet lokale lejojnë zbatimin e sistemeve të largimit me një tubacion të vetëm shkarkimi (një sistem i vetëm i largimit si për ujërat e përdorimit shtëpiak, ashtu edhe për ato të shiut) zbatohen njëlloj rregullat e cilësisë së këtij udhëzimi.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Largimi i ujërave të përdorimit shtëpiak duhet të jetë i tillë që mikrobet patogjene të ndodhur</w:t>
      </w:r>
      <w:r>
        <w:rPr>
          <w:lang w:val="it-IT"/>
        </w:rPr>
        <w:t>a</w:t>
      </w:r>
      <w:r w:rsidRPr="00440B55">
        <w:rPr>
          <w:lang w:val="it-IT"/>
        </w:rPr>
        <w:t xml:space="preserve"> në ujë të mos rrezikojn</w:t>
      </w:r>
      <w:r>
        <w:rPr>
          <w:lang w:val="it-IT"/>
        </w:rPr>
        <w:t>ë shëndetin e banorëve. Për këtë</w:t>
      </w:r>
      <w:r w:rsidRPr="00440B55">
        <w:rPr>
          <w:lang w:val="it-IT"/>
        </w:rPr>
        <w:t xml:space="preserve"> arsye, si dhe për të evituar erërat e padëshirueshme nga substancat që dekompozohen me shpejtësi, ujërat e përdorimit shtëpiak duhet të shkarkohen shpejt.</w:t>
      </w:r>
    </w:p>
    <w:p w:rsidR="006A00A4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Ky udhëzim është</w:t>
      </w:r>
      <w:r>
        <w:rPr>
          <w:lang w:val="it-IT"/>
        </w:rPr>
        <w:t xml:space="preserve"> adaptim nga UEA tc</w:t>
      </w:r>
      <w:r w:rsidRPr="00440B55">
        <w:rPr>
          <w:lang w:val="it-IT"/>
        </w:rPr>
        <w:t xml:space="preserve"> i marrë</w:t>
      </w:r>
      <w:r>
        <w:rPr>
          <w:lang w:val="it-IT"/>
        </w:rPr>
        <w:t>veshjeve teknike në ndërtim të B</w:t>
      </w:r>
      <w:r w:rsidRPr="00440B55">
        <w:rPr>
          <w:lang w:val="it-IT"/>
        </w:rPr>
        <w:t>ashkimit Europian.</w:t>
      </w:r>
    </w:p>
    <w:p w:rsidR="006A00A4" w:rsidRPr="00C97B5E" w:rsidRDefault="006A00A4" w:rsidP="006A00A4">
      <w:pPr>
        <w:pStyle w:val="Paragrafi"/>
        <w:rPr>
          <w:sz w:val="18"/>
          <w:lang w:val="it-IT"/>
        </w:rPr>
      </w:pPr>
    </w:p>
    <w:p w:rsidR="006A00A4" w:rsidRPr="00440B55" w:rsidRDefault="006A00A4" w:rsidP="006A00A4">
      <w:pPr>
        <w:pStyle w:val="KapitulliNr"/>
      </w:pPr>
      <w:r w:rsidRPr="00440B55">
        <w:t>PJESA E PARË</w:t>
      </w:r>
    </w:p>
    <w:p w:rsidR="006A00A4" w:rsidRDefault="006A00A4" w:rsidP="006A00A4">
      <w:pPr>
        <w:pStyle w:val="KapitulliTitull"/>
      </w:pPr>
      <w:r w:rsidRPr="00440B55">
        <w:t>TERMINOLOGJIA</w:t>
      </w:r>
    </w:p>
    <w:p w:rsidR="006A00A4" w:rsidRPr="00C97B5E" w:rsidRDefault="006A00A4" w:rsidP="006A00A4">
      <w:pPr>
        <w:pStyle w:val="KapitulliTitull"/>
        <w:rPr>
          <w:sz w:val="18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1.1 Përcaktime të përgjithshme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1.1.1 Ujë</w:t>
      </w:r>
      <w:r>
        <w:rPr>
          <w:lang w:val="it-IT"/>
        </w:rPr>
        <w:t>rat e përdorimit shtëpi</w:t>
      </w:r>
      <w:r w:rsidRPr="00440B55">
        <w:rPr>
          <w:lang w:val="it-IT"/>
        </w:rPr>
        <w:t>ak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Janë ujëra, natyra e</w:t>
      </w:r>
      <w:r>
        <w:rPr>
          <w:lang w:val="it-IT"/>
        </w:rPr>
        <w:t xml:space="preserve"> të cila</w:t>
      </w:r>
      <w:r w:rsidRPr="00440B55">
        <w:rPr>
          <w:lang w:val="it-IT"/>
        </w:rPr>
        <w:t>ve është ndryshuar gjatë largimit në rrjetin e tubacioneve dhe janë ndotur si pasojë e përdorimit të tyre shtëpiak, po ashtu edhe ujërat e shiut.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Ndërmjet tyre duhen pë</w:t>
      </w:r>
      <w:r>
        <w:rPr>
          <w:lang w:val="it-IT"/>
        </w:rPr>
        <w:t>rmendur: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Ujërat e bëra të papastra si pasojë e përdorimit të tyre shtëpiak, ujërat e shtyra me presion që përmbajnë jas</w:t>
      </w:r>
      <w:r>
        <w:rPr>
          <w:lang w:val="it-IT"/>
        </w:rPr>
        <w:t>htëqitjet njerëzore</w:t>
      </w:r>
      <w:r w:rsidRPr="00440B55">
        <w:rPr>
          <w:lang w:val="it-IT"/>
        </w:rPr>
        <w:t xml:space="preserve"> dhe</w:t>
      </w:r>
      <w:r>
        <w:rPr>
          <w:lang w:val="it-IT"/>
        </w:rPr>
        <w:t>,</w:t>
      </w:r>
      <w:r w:rsidRPr="00440B55">
        <w:rPr>
          <w:lang w:val="it-IT"/>
        </w:rPr>
        <w:t xml:space="preserve"> kur është e domosdoshme, me autorizim për jashtëqitje shtazore, si dhe ujërat e shiut nëse nuk janë larguar në një tjetër rrjet.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Nuk konsiderohen ujë</w:t>
      </w:r>
      <w:r>
        <w:rPr>
          <w:lang w:val="it-IT"/>
        </w:rPr>
        <w:t>ra të përdorimit shtëpi</w:t>
      </w:r>
      <w:r w:rsidRPr="00440B55">
        <w:rPr>
          <w:lang w:val="it-IT"/>
        </w:rPr>
        <w:t>ak</w:t>
      </w:r>
      <w:r>
        <w:rPr>
          <w:lang w:val="it-IT"/>
        </w:rPr>
        <w:t>,</w:t>
      </w:r>
      <w:r w:rsidRPr="00440B55">
        <w:rPr>
          <w:lang w:val="it-IT"/>
        </w:rPr>
        <w:t xml:space="preserve"> sipas kërkesave të kësaj rregulloreje: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Ujërat e zeza ose substancat që për nga natyra e tyre</w:t>
      </w:r>
      <w:r>
        <w:rPr>
          <w:lang w:val="it-IT"/>
        </w:rPr>
        <w:t>,</w:t>
      </w:r>
      <w:r w:rsidRPr="00440B55">
        <w:rPr>
          <w:lang w:val="it-IT"/>
        </w:rPr>
        <w:t xml:space="preserve"> për nga sasia dhe për nga koncentrimi mund të dëmtojnë, gjatë përdorimit, funksionimin, mirëmbajtjen dhe riparimin e sistemeve të shkarkimeve publike ose sistemet e shkarkimeve të godinave; përveç këtyre, nuk janë marrë në konsideratë produktet që mund të dëmtojnë jetën ose shëndetin e personave që punojnë me kanalizimet (ose që janë në kontakt me to) ose në sistemet e pastrimit, filtrimit dhe të eliminimit të ujërave të përdorura.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Ndërmjet tyre, në veçanti duhen përmendur: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a) Materialet e ngurta, substancat fibroze, bitumet, rëra, çimento, hirat, letrat e forta dhe kartonat, mbeturina inerte, plehëra, të brendshmet;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b) Substancat kimike të djegshme ose eksplozive, ose avujt e të cilave mund të bëhen eksplozive nëse përzihen me ajrin e kanalizimeve (p.sh. benzina ose benzoli), substancat toksike, si arsenik, cianogjen etj, si dhe radioaktive;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c) Substancat me veprim agresiv më të fortë se veprimi i uj</w:t>
      </w:r>
      <w:r>
        <w:rPr>
          <w:lang w:val="it-IT"/>
        </w:rPr>
        <w:t>ë</w:t>
      </w:r>
      <w:r w:rsidRPr="00440B55">
        <w:rPr>
          <w:lang w:val="it-IT"/>
        </w:rPr>
        <w:t>rave të përdorimit shtëpiak;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d) Substancat e lëngshme, vajrat, acidet, sodat, emulsionet, fenolet, kripërat e metaleve të rënda, antibiotikët ose substanca identike, në masën që mund të çrregullojnë jetën biologjike në stacionet e pastrimit dhe në rrjetet e kanalizimeve;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e) Ujërat e përdorura dhe substancat që lëshojnë erëra të padëshirueshme, si dhe të gjitha gazet;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f) Ujërat e përdorura të infektuara, p.sh. uj</w:t>
      </w:r>
      <w:r>
        <w:rPr>
          <w:lang w:val="it-IT"/>
        </w:rPr>
        <w:t>ë</w:t>
      </w:r>
      <w:r w:rsidRPr="00440B55">
        <w:rPr>
          <w:lang w:val="it-IT"/>
        </w:rPr>
        <w:t>rat e përdorura në spitale (salla infektive);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g) Substanca që prodhojnë efekte të dëmshme jo direkt, por me përzierje ose nga reaksioni i tyre me ujërat e përdorura;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 xml:space="preserve">Në rastet kur kemi të bëjmë me lëngje ose substanca të tilla, është e nevojshme të parashikojmë karakteristika speciale për materialet që do të përdoren për sistemet e </w:t>
      </w:r>
      <w:r>
        <w:rPr>
          <w:lang w:val="it-IT"/>
        </w:rPr>
        <w:t>l</w:t>
      </w:r>
      <w:r w:rsidRPr="00440B55">
        <w:rPr>
          <w:lang w:val="it-IT"/>
        </w:rPr>
        <w:t>argimit ose të parashikohet trajtim i përshtatshëm për ujërat e zeza.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1.1.2 Sistemet e largimit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Bashkësia e tub</w:t>
      </w:r>
      <w:r>
        <w:rPr>
          <w:lang w:val="it-IT"/>
        </w:rPr>
        <w:t>ave, rakorderive dhe e bashkues</w:t>
      </w:r>
      <w:r w:rsidRPr="00440B55">
        <w:rPr>
          <w:lang w:val="it-IT"/>
        </w:rPr>
        <w:t>ve të kanalizimeve, si dhe mënyra e bashkimit ose fiksimit të tyre, të destinuara për largimin e ujërave duke u nisur nga aparatet shtëpiake dhe sanitare (përfshirë ose jo sifonet e tyre) deri në rrjetin kyesor të kanalizimeve.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1.1.3 Tubat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Trupa bosh në formë cilindrike të hapura në fundet e tyre dhe me dimensione nominale të përcaktuara.Tubat e përkulshëm (fleksibël) nuk trajtohen në këtë udhëzim.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1.1.3.1 Rakorderitë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Elemente</w:t>
      </w:r>
      <w:r w:rsidRPr="00440B55">
        <w:rPr>
          <w:lang w:val="it-IT"/>
        </w:rPr>
        <w:t xml:space="preserve"> të kanalizimeve që përdoren: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për ndryshi</w:t>
      </w:r>
      <w:r>
        <w:rPr>
          <w:lang w:val="it-IT"/>
        </w:rPr>
        <w:t>min e drejtimit të kanalizimeve;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për bashkimin në dy ose më shumë pjesë të tubave (të të njëjtit diametër ose jo, të të njëjtit material ose jo);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për bashkimin ndërmj</w:t>
      </w:r>
      <w:r>
        <w:rPr>
          <w:lang w:val="it-IT"/>
        </w:rPr>
        <w:t>et një tubi dhe aparati sanitar;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ose për të lejuar mirëmbajtjen e kanalizimeve.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1.2 Tipet e kanalizimeve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1.2.1 Tubat</w:t>
      </w:r>
      <w:r>
        <w:rPr>
          <w:lang w:val="it-IT"/>
        </w:rPr>
        <w:t xml:space="preserve"> </w:t>
      </w:r>
      <w:r w:rsidRPr="00440B55">
        <w:rPr>
          <w:lang w:val="it-IT"/>
        </w:rPr>
        <w:t>(1)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1.2.2. Tubat (lidhjet) e rakordeve midis sifonit dhe degëzimit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1.2.3 Degëzimi nën horizontal për shkarkime të veçanta (2)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lastRenderedPageBreak/>
        <w:t>Kanalizim nga pika e përdorimit deri te bashkimi me tubacionin kryesor.</w:t>
      </w:r>
    </w:p>
    <w:p w:rsidR="006A00A4" w:rsidRPr="00440B55" w:rsidRDefault="006A00A4" w:rsidP="006A00A4">
      <w:pPr>
        <w:pStyle w:val="Paragrafi"/>
      </w:pPr>
      <w:r w:rsidRPr="00440B55">
        <w:t>1.2.3.1 Degëzim nën horizontal për shkarkime shumëfish</w:t>
      </w:r>
      <w:r>
        <w:t>e</w:t>
      </w:r>
      <w:r w:rsidRPr="00440B55">
        <w:t xml:space="preserve"> (2b)</w:t>
      </w:r>
    </w:p>
    <w:p w:rsidR="006A00A4" w:rsidRPr="00440B55" w:rsidRDefault="006A00A4" w:rsidP="006A00A4">
      <w:pPr>
        <w:pStyle w:val="Paragrafi"/>
      </w:pPr>
      <w:r w:rsidRPr="00440B55">
        <w:t>Kanalizim që mbledh ujërat nga shumë degëzime për shkarkim të veçantë dhe që i dërgon në kolonën e shkarkimit për në kolektorin kryesor.</w:t>
      </w:r>
    </w:p>
    <w:p w:rsidR="006A00A4" w:rsidRPr="00440B55" w:rsidRDefault="006A00A4" w:rsidP="006A00A4">
      <w:pPr>
        <w:pStyle w:val="Paragrafi"/>
      </w:pPr>
      <w:r w:rsidRPr="00440B55">
        <w:t>1.2.4 Kolona e shkarkimit (3)</w:t>
      </w:r>
    </w:p>
    <w:p w:rsidR="006A00A4" w:rsidRPr="00440B55" w:rsidRDefault="006A00A4" w:rsidP="006A00A4">
      <w:pPr>
        <w:pStyle w:val="Paragrafi"/>
      </w:pPr>
      <w:r w:rsidRPr="00440B55">
        <w:t xml:space="preserve">Tubacioni vertikal me ose pa ndryshim drejtimi, që kalon në një ose më shumë kate me ajrosje, që </w:t>
      </w:r>
      <w:smartTag w:uri="urn:schemas-microsoft-com:office:smarttags" w:element="State">
        <w:smartTag w:uri="urn:schemas-microsoft-com:office:smarttags" w:element="place">
          <w:r w:rsidRPr="00440B55">
            <w:t>del</w:t>
          </w:r>
        </w:smartTag>
      </w:smartTag>
      <w:r w:rsidRPr="00440B55">
        <w:t xml:space="preserve"> mbi çati, që dërgon ujërat e përdorimit shtëpiak në kolektorin kryesor më të afërt ose të nëndheshëm.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1.2.5 Kullimet e ujë</w:t>
      </w:r>
      <w:r>
        <w:rPr>
          <w:lang w:val="it-IT"/>
        </w:rPr>
        <w:t>rave të shiut</w:t>
      </w:r>
      <w:r w:rsidRPr="00440B55">
        <w:rPr>
          <w:lang w:val="it-IT"/>
        </w:rPr>
        <w:t xml:space="preserve"> (4)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Kullimet e ujërave realizohen me tubacione brenda ose jashtë muraturës, të destinuara për largimin e ujërave të shiut nga çatitë, ballkonet dhe llozhat.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1.2.6. Kolektori kryesor (5)</w:t>
      </w:r>
    </w:p>
    <w:p w:rsidR="006A00A4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Tubacioni më i afërt që është për grumbullim e ujërave të kolonave të shkarkimit dhe të degëzimeve nëntokësore.</w:t>
      </w:r>
    </w:p>
    <w:p w:rsidR="006A00A4" w:rsidRDefault="006A00A4" w:rsidP="006A00A4">
      <w:pPr>
        <w:pStyle w:val="Paragrafi"/>
        <w:rPr>
          <w:lang w:val="it-IT"/>
        </w:rPr>
      </w:pPr>
    </w:p>
    <w:p w:rsidR="006A00A4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1.2.7 Kolektori kryesor nëntokë</w:t>
      </w:r>
      <w:r>
        <w:rPr>
          <w:lang w:val="it-IT"/>
        </w:rPr>
        <w:t xml:space="preserve">sor </w:t>
      </w:r>
      <w:r w:rsidRPr="00440B55">
        <w:rPr>
          <w:lang w:val="it-IT"/>
        </w:rPr>
        <w:t>(6)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Tubacioni i futur në tokë ose në themelet e godinës dhe që destinohet për derdhjen e ujërave të përdorimit shtëpiak në rrjetin kryesor të kanalizimeve.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1.2.8 Tubi i ventilimit</w:t>
      </w:r>
      <w:r>
        <w:rPr>
          <w:lang w:val="it-IT"/>
        </w:rPr>
        <w:t xml:space="preserve"> (7)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Tubacioni që nuk mbledh ujërat e përdorura dhe që destinohet për sigurimin e ventilimit të sistemit të largimit të ujërave.</w:t>
      </w: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0549AC" w:rsidP="006A00A4">
      <w:pPr>
        <w:pStyle w:val="Figure"/>
      </w:pPr>
      <w:r w:rsidRPr="00440B55">
        <w:rPr>
          <w:noProof/>
          <w:lang w:val="en-GB" w:eastAsia="en-GB"/>
        </w:rPr>
        <w:drawing>
          <wp:inline distT="0" distB="0" distL="0" distR="0">
            <wp:extent cx="3576320" cy="4114165"/>
            <wp:effectExtent l="0" t="0" r="5080" b="63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320" cy="411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0A4" w:rsidRPr="00440B55" w:rsidRDefault="000549AC" w:rsidP="006A00A4">
      <w:pPr>
        <w:pStyle w:val="Paragrafi"/>
      </w:pPr>
      <w:r w:rsidRPr="00440B55">
        <w:rPr>
          <w:noProof/>
          <w:lang w:val="en-GB" w:eastAsia="en-GB"/>
        </w:rPr>
        <w:lastRenderedPageBreak/>
        <w:drawing>
          <wp:inline distT="0" distB="0" distL="0" distR="0">
            <wp:extent cx="3762375" cy="1562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0A4" w:rsidRPr="00440B55" w:rsidRDefault="006A00A4" w:rsidP="006A00A4">
      <w:pPr>
        <w:pStyle w:val="Paragrafi"/>
      </w:pPr>
    </w:p>
    <w:p w:rsidR="006A00A4" w:rsidRPr="00440B55" w:rsidRDefault="006A00A4" w:rsidP="006A00A4">
      <w:pPr>
        <w:pStyle w:val="Paragrafi"/>
      </w:pPr>
      <w:r>
        <w:t>Fig 2. Kolona e</w:t>
      </w:r>
      <w:r w:rsidRPr="00440B55">
        <w:t xml:space="preserve"> shkarkimit me shumë ndryshime të drejtimit dhe ventilim sekondar direkt</w:t>
      </w:r>
    </w:p>
    <w:p w:rsidR="006A00A4" w:rsidRPr="00440B55" w:rsidRDefault="006A00A4" w:rsidP="006A00A4">
      <w:pPr>
        <w:pStyle w:val="Paragrafi"/>
      </w:pPr>
    </w:p>
    <w:p w:rsidR="006A00A4" w:rsidRPr="00440B55" w:rsidRDefault="006A00A4" w:rsidP="006A00A4">
      <w:pPr>
        <w:pStyle w:val="Paragrafi"/>
      </w:pPr>
      <w:r w:rsidRPr="00440B55">
        <w:t>Figurat 1 dhe 2 japin skematikisht shembuj që janë marrë për të ilustruar terminologjinë e paragrafit 1.2 dhe që ek</w:t>
      </w:r>
      <w:r>
        <w:t>zistojnë në vendet e ndryshme të</w:t>
      </w:r>
      <w:r w:rsidRPr="00440B55">
        <w:t xml:space="preserve"> BEA tc. Këto zgjidhje nga njëra anë</w:t>
      </w:r>
      <w:r>
        <w:t xml:space="preserve"> nuk janë</w:t>
      </w:r>
      <w:r w:rsidRPr="00440B55">
        <w:t xml:space="preserve"> të kufizuara dhe nga ana tjetër nuk jan</w:t>
      </w:r>
      <w:r>
        <w:t>ë</w:t>
      </w:r>
      <w:r w:rsidRPr="00440B55">
        <w:t xml:space="preserve"> të gjitha të autorizuara në vendet e ndryshme të BEA tc, si norma lokale ose nacionale në përdorim.</w:t>
      </w:r>
    </w:p>
    <w:p w:rsidR="006A00A4" w:rsidRPr="00440B55" w:rsidRDefault="006A00A4" w:rsidP="006A00A4">
      <w:pPr>
        <w:pStyle w:val="Paragrafi"/>
      </w:pPr>
      <w:r w:rsidRPr="00440B55">
        <w:t>1.3 Klasifikimi sipas materialeve</w:t>
      </w:r>
    </w:p>
    <w:p w:rsidR="006A00A4" w:rsidRPr="00440B55" w:rsidRDefault="006A00A4" w:rsidP="006A00A4">
      <w:pPr>
        <w:pStyle w:val="Paragrafi"/>
      </w:pPr>
      <w:r w:rsidRPr="00440B55">
        <w:t>1.2</w:t>
      </w:r>
      <w:r>
        <w:t>.1</w:t>
      </w:r>
      <w:r w:rsidRPr="00440B55">
        <w:t xml:space="preserve"> Kanalizimet metalike:</w:t>
      </w:r>
    </w:p>
    <w:p w:rsidR="006A00A4" w:rsidRPr="00440B55" w:rsidRDefault="006A00A4" w:rsidP="006A00A4">
      <w:pPr>
        <w:pStyle w:val="Paragrafi"/>
      </w:pPr>
      <w:r w:rsidRPr="00440B55">
        <w:t>- çelik i galvanizuar,</w:t>
      </w:r>
    </w:p>
    <w:p w:rsidR="006A00A4" w:rsidRPr="00440B55" w:rsidRDefault="006A00A4" w:rsidP="006A00A4">
      <w:pPr>
        <w:pStyle w:val="Paragrafi"/>
      </w:pPr>
      <w:r w:rsidRPr="00440B55">
        <w:t>- çelik i riveshur me plastikë,</w:t>
      </w:r>
    </w:p>
    <w:p w:rsidR="006A00A4" w:rsidRPr="00440B55" w:rsidRDefault="006A00A4" w:rsidP="006A00A4">
      <w:pPr>
        <w:pStyle w:val="Paragrafi"/>
      </w:pPr>
      <w:r w:rsidRPr="00440B55">
        <w:t>- gizë,</w:t>
      </w:r>
    </w:p>
    <w:p w:rsidR="006A00A4" w:rsidRPr="00440B55" w:rsidRDefault="006A00A4" w:rsidP="006A00A4">
      <w:pPr>
        <w:pStyle w:val="Paragrafi"/>
      </w:pPr>
      <w:r>
        <w:t>- a</w:t>
      </w:r>
      <w:r w:rsidRPr="00440B55">
        <w:t>lumin i veshur me plastikë</w:t>
      </w:r>
      <w:r>
        <w:t>,</w:t>
      </w:r>
    </w:p>
    <w:p w:rsidR="006A00A4" w:rsidRPr="00440B55" w:rsidRDefault="006A00A4" w:rsidP="006A00A4">
      <w:pPr>
        <w:pStyle w:val="Paragrafi"/>
      </w:pPr>
      <w:r>
        <w:t>- b</w:t>
      </w:r>
      <w:r w:rsidRPr="00440B55">
        <w:t>akë</w:t>
      </w:r>
      <w:r>
        <w:t>r</w:t>
      </w:r>
      <w:r w:rsidRPr="00440B55">
        <w:t xml:space="preserve"> etj.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1.3.2 Kanalizime prej materialesh plastike: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PVC e paplastifikuar</w:t>
      </w:r>
      <w:r>
        <w:rPr>
          <w:lang w:val="it-IT"/>
        </w:rPr>
        <w:t xml:space="preserve"> </w:t>
      </w:r>
      <w:r w:rsidRPr="00440B55">
        <w:rPr>
          <w:lang w:val="it-IT"/>
        </w:rPr>
        <w:t>(polovini</w:t>
      </w:r>
      <w:r>
        <w:rPr>
          <w:lang w:val="it-IT"/>
        </w:rPr>
        <w:t>l kloruri jo i plastifikueshëm),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PE Polietilen</w:t>
      </w:r>
      <w:r>
        <w:rPr>
          <w:lang w:val="it-IT"/>
        </w:rPr>
        <w:t>,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PP Polipropien</w:t>
      </w:r>
      <w:r>
        <w:rPr>
          <w:lang w:val="it-IT"/>
        </w:rPr>
        <w:t>,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PVC.CI (polivinil kloruri i kloruar),</w:t>
      </w:r>
    </w:p>
    <w:p w:rsidR="006A00A4" w:rsidRPr="00440B55" w:rsidRDefault="006A00A4" w:rsidP="006A00A4">
      <w:pPr>
        <w:pStyle w:val="Paragrafi"/>
      </w:pPr>
      <w:r w:rsidRPr="00440B55">
        <w:t>- ABS (akrilotitril butadien —stirene)</w:t>
      </w:r>
      <w:r>
        <w:t>.</w:t>
      </w:r>
    </w:p>
    <w:p w:rsidR="006A00A4" w:rsidRPr="00440B55" w:rsidRDefault="006A00A4" w:rsidP="006A00A4">
      <w:pPr>
        <w:pStyle w:val="Paragrafi"/>
      </w:pPr>
      <w:r w:rsidRPr="00440B55">
        <w:t>1.3.4 Kanalizime të tjera</w:t>
      </w:r>
    </w:p>
    <w:p w:rsidR="006A00A4" w:rsidRDefault="006A00A4" w:rsidP="006A00A4">
      <w:pPr>
        <w:pStyle w:val="Paragrafi"/>
      </w:pPr>
      <w:r w:rsidRPr="00440B55">
        <w:t>- Tuba me parete të përbëra (p.sh. metal - izolues termik — metal)</w:t>
      </w:r>
    </w:p>
    <w:p w:rsidR="006A00A4" w:rsidRPr="00440B55" w:rsidRDefault="006A00A4" w:rsidP="006A00A4">
      <w:pPr>
        <w:pStyle w:val="Paragrafi"/>
      </w:pPr>
    </w:p>
    <w:p w:rsidR="006A00A4" w:rsidRPr="00440B55" w:rsidRDefault="006A00A4" w:rsidP="006A00A4">
      <w:pPr>
        <w:pStyle w:val="TitulliTitull"/>
      </w:pPr>
      <w:r w:rsidRPr="00440B55">
        <w:t>PJESA E DYTË</w:t>
      </w:r>
    </w:p>
    <w:p w:rsidR="006A00A4" w:rsidRDefault="006A00A4" w:rsidP="006A00A4">
      <w:pPr>
        <w:pStyle w:val="TitulliTitull"/>
      </w:pPr>
      <w:r w:rsidRPr="00440B55">
        <w:t>Rregullat e cilësisë</w:t>
      </w:r>
    </w:p>
    <w:p w:rsidR="006A00A4" w:rsidRPr="00440B55" w:rsidRDefault="006A00A4" w:rsidP="006A00A4">
      <w:pPr>
        <w:pStyle w:val="TitulliTitull"/>
      </w:pP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2.1</w:t>
      </w:r>
      <w:r w:rsidRPr="00440B55">
        <w:rPr>
          <w:lang w:val="it-IT"/>
        </w:rPr>
        <w:t xml:space="preserve"> Rregullat bazë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2.1.1 Siguria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Zgjedhja e materialeve, sikurse edhe kushtet e instalimit duhet të jenë në përputhje me rregulloret në fuqi, në mënyrë të veçantë me ato që lidhen me risqet e përhapjes së zjarrit.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2.1.2 Higj</w:t>
      </w:r>
      <w:r>
        <w:rPr>
          <w:lang w:val="it-IT"/>
        </w:rPr>
        <w:t>i</w:t>
      </w:r>
      <w:r w:rsidRPr="00440B55">
        <w:rPr>
          <w:lang w:val="it-IT"/>
        </w:rPr>
        <w:t>ena dhe funksionimi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Sistemet e largimit me gravitet duhet të garantojnë një shkarkim korrekt dhe të menjëhershëm të ujërave të përdorimit shtëpiak. Ato nuk duhe</w:t>
      </w:r>
      <w:r>
        <w:rPr>
          <w:lang w:val="it-IT"/>
        </w:rPr>
        <w:t>t të favorizojnë formimin e alga</w:t>
      </w:r>
      <w:r w:rsidRPr="00440B55">
        <w:rPr>
          <w:lang w:val="it-IT"/>
        </w:rPr>
        <w:t>ve, si dhe shpërndarjen e mikrobeve patogjene dhe për këtë arsye duhet të jenë opake (shiko 1.1). Ato duhet të jenë të qëndrueshme ndaj ujit dhe erërave. Për sa i përket dimensioneve të tubave, rakorderive dhe cilësisë së materialeve të elementeve bashkues</w:t>
      </w:r>
      <w:r>
        <w:rPr>
          <w:lang w:val="it-IT"/>
        </w:rPr>
        <w:t>e</w:t>
      </w:r>
      <w:r w:rsidRPr="00440B55">
        <w:rPr>
          <w:lang w:val="it-IT"/>
        </w:rPr>
        <w:t xml:space="preserve"> (xhuntave), shërbejnë standardet ISO/EN, rekomandimet dhe rregulloret kombëtare. Gjendja e sipërfaqeve të tubave dhe rakorderive duhet të jetë e kontrolluar (shiko 3.1.2). Duhet të verifikohet në veçanti që ato të jenë pa defekte që kompromentojnë cilësinë, që sipërfaqja e tyre e brendshme të mos ketë pjesë të dala dhe që pjesët fundore të tubit të jenë perpendikulare me aksin e tubit. Lyerja që duhet të aplikohet mbi tubacion nuk duhet të paraqesë mospërputhshmëri me tubin.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Kanalizimet duhet të jenë të qëndrueshme nga pikëpamja e formës</w:t>
      </w:r>
      <w:r>
        <w:rPr>
          <w:lang w:val="it-IT"/>
        </w:rPr>
        <w:t>,</w:t>
      </w:r>
      <w:r w:rsidRPr="00440B55">
        <w:rPr>
          <w:lang w:val="it-IT"/>
        </w:rPr>
        <w:t xml:space="preserve"> d.m.th. të ruajnë seksionin dhe drejtimin fillestar (3). Stabiliteti i formës varet kryesisht nga karakteristikat gjeometrike të kanalizimit dhe nga përbërja e materialit. Nëse stabiliteti i formës n</w:t>
      </w:r>
      <w:r>
        <w:rPr>
          <w:lang w:val="it-IT"/>
        </w:rPr>
        <w:t>uk është i siguruar, duhen marrë</w:t>
      </w:r>
      <w:r w:rsidRPr="00440B55">
        <w:rPr>
          <w:lang w:val="it-IT"/>
        </w:rPr>
        <w:t xml:space="preserve"> masa të veçanta në vend për të kufizuar deformimet.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lastRenderedPageBreak/>
        <w:t>Duke pasur parsysh pjerrësitë e përdorura në përgjithësi për shkarkimet, ulja maksimale ndërmjet suporteve bashkuese të elementeve të kanalizimeve, nuk duhet të kalojë 3 mm. Për rrjedhim, nisur nga ky kusht, distanca ndërmjet suporteve mbetet fikse.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2.1.3 Izolimi akustik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Sistemi duhet të konceptohet në mënyrë të tillë që zhurmat që krijohen gjatë funksionimit të zvogëlohen në maksimumin e mundshëm.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2.1.4</w:t>
      </w:r>
      <w:r w:rsidRPr="00440B55">
        <w:rPr>
          <w:lang w:val="it-IT"/>
        </w:rPr>
        <w:t xml:space="preserve"> Qëndrueshmëria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Qëndru</w:t>
      </w:r>
      <w:r>
        <w:rPr>
          <w:lang w:val="it-IT"/>
        </w:rPr>
        <w:t>e</w:t>
      </w:r>
      <w:r w:rsidRPr="00440B55">
        <w:rPr>
          <w:lang w:val="it-IT"/>
        </w:rPr>
        <w:t>shmëria e kanalizimeve në vepër, duke parashikuar mirëmbajtje normale të mundshme dhe zëvendësime të pjesshme, duhet të përputhet me qëndrueshmërinë e godinave dhe të qëndrojë të paktën për 50 vjet në këto</w:t>
      </w:r>
      <w:r>
        <w:rPr>
          <w:lang w:val="it-IT"/>
        </w:rPr>
        <w:t xml:space="preserve"> kushte</w:t>
      </w:r>
      <w:r w:rsidRPr="00440B55">
        <w:rPr>
          <w:lang w:val="it-IT"/>
        </w:rPr>
        <w:t>. Kanalizimet duhet të kenë qëndru</w:t>
      </w:r>
      <w:r>
        <w:rPr>
          <w:lang w:val="it-IT"/>
        </w:rPr>
        <w:t>e</w:t>
      </w:r>
      <w:r w:rsidRPr="00440B55">
        <w:rPr>
          <w:lang w:val="it-IT"/>
        </w:rPr>
        <w:t>shmëri të barabartë në çdo pikë. Në mënyrë të veçantë, rakorderitë dhe pjesët bashkuese të veçanta dhe proceset e punës për realizimin e tyre nuk duhet të krijojnë pika të dob</w:t>
      </w:r>
      <w:r>
        <w:rPr>
          <w:lang w:val="it-IT"/>
        </w:rPr>
        <w:t>ë</w:t>
      </w:r>
      <w:r w:rsidRPr="00440B55">
        <w:rPr>
          <w:lang w:val="it-IT"/>
        </w:rPr>
        <w:t>ta.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2.1.4.1 Faktorët e vjetërimit</w:t>
      </w:r>
    </w:p>
    <w:p w:rsidR="006A00A4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Qëndru</w:t>
      </w:r>
      <w:r>
        <w:rPr>
          <w:lang w:val="it-IT"/>
        </w:rPr>
        <w:t>e</w:t>
      </w:r>
      <w:r w:rsidRPr="00440B55">
        <w:rPr>
          <w:lang w:val="it-IT"/>
        </w:rPr>
        <w:t>shmëria e sistemit të largimit të ujërave duhet vlerësuar në përgjithësi duke pasur parasysh faktorët e mëposhtëm që veprojnë njëkohësisht ose në mënyrë individuale.</w:t>
      </w:r>
    </w:p>
    <w:p w:rsidR="006A00A4" w:rsidRDefault="006A00A4" w:rsidP="006A00A4">
      <w:pPr>
        <w:pStyle w:val="Paragrafi"/>
        <w:rPr>
          <w:lang w:val="it-IT"/>
        </w:rPr>
      </w:pPr>
    </w:p>
    <w:p w:rsidR="006A00A4" w:rsidRDefault="006A00A4" w:rsidP="006A00A4">
      <w:pPr>
        <w:pStyle w:val="Paragrafi"/>
        <w:rPr>
          <w:lang w:val="it-IT"/>
        </w:rPr>
      </w:pPr>
    </w:p>
    <w:p w:rsidR="006A00A4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2.1.4.1.1 Veprimet kimike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Sistemi i largimit të ujërave duhet të jetë rezistent ndaj ujërave të përdorimit shtëpiak, të përcaktuara në 1.1.1</w:t>
      </w:r>
      <w:r>
        <w:rPr>
          <w:lang w:val="it-IT"/>
        </w:rPr>
        <w:t>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2.1.4.1.2 Agjentët atmosferik</w:t>
      </w:r>
      <w:r>
        <w:rPr>
          <w:lang w:val="it-IT"/>
        </w:rPr>
        <w:t>ë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Veprimi i rrezeve ultraviolet për kanalizimet e vendosura në ambi</w:t>
      </w:r>
      <w:r>
        <w:rPr>
          <w:lang w:val="it-IT"/>
        </w:rPr>
        <w:t>ent të jashtëm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2.1.4. 1.3 Uji i kondensimit, i shiut, avulli i ujit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2.1.4.1.4 Gazet atmosferike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Veprimi i gazeve CO</w:t>
      </w:r>
      <w:r w:rsidRPr="00440B55">
        <w:rPr>
          <w:vertAlign w:val="subscript"/>
          <w:lang w:val="it-IT"/>
        </w:rPr>
        <w:t>2</w:t>
      </w:r>
      <w:r>
        <w:rPr>
          <w:lang w:val="it-IT"/>
        </w:rPr>
        <w:t xml:space="preserve">, </w:t>
      </w:r>
      <w:r w:rsidRPr="00440B55">
        <w:rPr>
          <w:lang w:val="it-IT"/>
        </w:rPr>
        <w:t>SO</w:t>
      </w:r>
      <w:r>
        <w:rPr>
          <w:vertAlign w:val="subscript"/>
          <w:lang w:val="it-IT"/>
        </w:rPr>
        <w:t>2</w:t>
      </w:r>
      <w:r>
        <w:rPr>
          <w:lang w:val="it-IT"/>
        </w:rPr>
        <w:t xml:space="preserve">, </w:t>
      </w:r>
      <w:r w:rsidRPr="00440B55">
        <w:rPr>
          <w:lang w:val="it-IT"/>
        </w:rPr>
        <w:t>O</w:t>
      </w:r>
      <w:r w:rsidRPr="00440B55">
        <w:rPr>
          <w:vertAlign w:val="subscript"/>
          <w:lang w:val="it-IT"/>
        </w:rPr>
        <w:t>2</w:t>
      </w:r>
      <w:r w:rsidRPr="00440B55">
        <w:rPr>
          <w:lang w:val="it-IT"/>
        </w:rPr>
        <w:t>, O</w:t>
      </w:r>
      <w:r w:rsidRPr="00440B55">
        <w:rPr>
          <w:vertAlign w:val="subscript"/>
          <w:lang w:val="it-IT"/>
        </w:rPr>
        <w:t>3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2.1.4.1.5 Temperatura dhe ndryshimet e temperaturës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Në regjim të ndërprerë shkarkimi, temperatura e ujit të përdorur shtëpiak konsi</w:t>
      </w:r>
      <w:r>
        <w:rPr>
          <w:lang w:val="it-IT"/>
        </w:rPr>
        <w:t>derohet e fiksuar në temperaturë</w:t>
      </w:r>
      <w:r w:rsidRPr="00440B55">
        <w:rPr>
          <w:lang w:val="it-IT"/>
        </w:rPr>
        <w:t>n 95 °C ± 1. Temperatura minimale konsiderohet minus - 15°C.</w:t>
      </w:r>
      <w:r>
        <w:rPr>
          <w:lang w:val="it-IT"/>
        </w:rPr>
        <w:t xml:space="preserve"> </w:t>
      </w:r>
      <w:r w:rsidRPr="00440B55">
        <w:rPr>
          <w:lang w:val="it-IT"/>
        </w:rPr>
        <w:t>Ndryshimet e shpeshta të temperaturës që merren në</w:t>
      </w:r>
      <w:r>
        <w:rPr>
          <w:lang w:val="it-IT"/>
        </w:rPr>
        <w:t xml:space="preserve"> konsideratë për vlerësimin e</w:t>
      </w:r>
      <w:r w:rsidRPr="00440B55">
        <w:rPr>
          <w:lang w:val="it-IT"/>
        </w:rPr>
        <w:t xml:space="preserve"> goditjeve termike të kana</w:t>
      </w:r>
      <w:r>
        <w:rPr>
          <w:lang w:val="it-IT"/>
        </w:rPr>
        <w:t>lizimeve, janë të rendit (95°C-</w:t>
      </w:r>
      <w:r w:rsidRPr="00440B55">
        <w:rPr>
          <w:lang w:val="it-IT"/>
        </w:rPr>
        <w:t>15°C)</w:t>
      </w:r>
      <w:r>
        <w:rPr>
          <w:lang w:val="it-IT"/>
        </w:rPr>
        <w:t>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2.1.4.1.6 Goditjet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Goditjet që duhet të merren në konsideratë janë kur pjesët e tubacionit të ekspozuara ndaj goditjeve nuk janë të mbrojtura, të tilla janë ato q</w:t>
      </w:r>
      <w:r>
        <w:rPr>
          <w:lang w:val="it-IT"/>
        </w:rPr>
        <w:t>ë krijohen nga zënia e lokaleve</w:t>
      </w:r>
      <w:r w:rsidRPr="00440B55">
        <w:rPr>
          <w:lang w:val="it-IT"/>
        </w:rPr>
        <w:t xml:space="preserve"> (për kanalizimet e brendshme) ose nga sforcimet e jashtme (për kanalizimet e jashtme).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2.1.5</w:t>
      </w:r>
      <w:r w:rsidRPr="00440B55">
        <w:rPr>
          <w:lang w:val="it-IT"/>
        </w:rPr>
        <w:t xml:space="preserve"> Mirëmbajtja dhe riparimet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Konceptimi i sistemit të largimit, sikurse edhe vënia e tij në përdorim duhet të jenë të tillë, që mirëmbajtja periodike e kanalizimit të jetë</w:t>
      </w:r>
      <w:r>
        <w:rPr>
          <w:lang w:val="it-IT"/>
        </w:rPr>
        <w:t xml:space="preserve"> e lehtë dhe e shpejtë</w:t>
      </w:r>
      <w:r w:rsidRPr="00440B55">
        <w:rPr>
          <w:lang w:val="it-IT"/>
        </w:rPr>
        <w:t>. Duhen parashikuar në sistem, në pozicione të nevojshme, elemente që lejojnë këtë mirëmbajtje (tapa kontrolli ose shkarkuese).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Duhet të parashikohen rregullore praktike që të lejojnë zëvendësime eventuale të ndonjë elementi ose të një pjese të kanalizimit, përveç kësaj dimensionet e tubave dhe të rakorderive duhet të jenë konform standardeve ISO/EN ose</w:t>
      </w:r>
      <w:r>
        <w:rPr>
          <w:lang w:val="it-IT"/>
        </w:rPr>
        <w:t>,</w:t>
      </w:r>
      <w:r w:rsidRPr="00440B55">
        <w:rPr>
          <w:lang w:val="it-IT"/>
        </w:rPr>
        <w:t xml:space="preserve"> në mungesë të tyre</w:t>
      </w:r>
      <w:r>
        <w:rPr>
          <w:lang w:val="it-IT"/>
        </w:rPr>
        <w:t>,</w:t>
      </w:r>
      <w:r w:rsidRPr="00440B55">
        <w:rPr>
          <w:lang w:val="it-IT"/>
        </w:rPr>
        <w:t xml:space="preserve"> </w:t>
      </w:r>
      <w:r>
        <w:rPr>
          <w:lang w:val="it-IT"/>
        </w:rPr>
        <w:t xml:space="preserve">të </w:t>
      </w:r>
      <w:r w:rsidRPr="00440B55">
        <w:rPr>
          <w:lang w:val="it-IT"/>
        </w:rPr>
        <w:t>standardeve dhe rregullave teknike kombëtare që lidhen me to (shih 3.1.3). Nëse është e domosdoshme, duhet të prodhohen dhe të kihen në përdorim elemente speciale që lejojnë zgjerimin ose zvogëlimin e sistemit, në një sistem që mund të përdoret ndryshe.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2.2. Rregulla plotësuese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2.2.1 Parandalimi i dëmtimeve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Në rastet kur materialet e përdorura gjatë zbatimit të sistemit të kanalizimit (si për shembull ngjitës ose tretës), mbartin rrezikun e helmimit ose të ndezjes, duhet të merren masa në përputhje me rregulloret përkatëse, për të siguruar mbrojtjen e punëtorëve në kantiere ose në repartet e prodhimit.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2.2.2 Kontrolli i cilësisë</w:t>
      </w:r>
    </w:p>
    <w:p w:rsidR="006A00A4" w:rsidRPr="00440B55" w:rsidRDefault="006A00A4" w:rsidP="006A00A4">
      <w:pPr>
        <w:pStyle w:val="Paragrafi"/>
      </w:pPr>
      <w:r w:rsidRPr="00440B55">
        <w:rPr>
          <w:lang w:val="it-IT"/>
        </w:rPr>
        <w:t xml:space="preserve">Prodhimi dhe kontrolli i elementeve përbërëse të tubacioneve të </w:t>
      </w:r>
      <w:r>
        <w:rPr>
          <w:lang w:val="it-IT"/>
        </w:rPr>
        <w:t>l</w:t>
      </w:r>
      <w:r w:rsidRPr="00440B55">
        <w:rPr>
          <w:lang w:val="it-IT"/>
        </w:rPr>
        <w:t>argimit duhet të jetë i tillë që cilësia dhe karakteristikat e tyre të jenë të qëndrueshme dhe t’i korrespondojnë</w:t>
      </w:r>
      <w:r>
        <w:rPr>
          <w:lang w:val="it-IT"/>
        </w:rPr>
        <w:t xml:space="preserve"> kërkesave</w:t>
      </w:r>
      <w:r w:rsidRPr="00440B55">
        <w:rPr>
          <w:lang w:val="it-IT"/>
        </w:rPr>
        <w:t xml:space="preserve"> </w:t>
      </w:r>
      <w:r w:rsidRPr="00440B55">
        <w:t>(shiko 3.3)</w:t>
      </w:r>
      <w:r>
        <w:t>.</w:t>
      </w:r>
    </w:p>
    <w:p w:rsidR="006A00A4" w:rsidRPr="00440B55" w:rsidRDefault="006A00A4" w:rsidP="006A00A4">
      <w:pPr>
        <w:pStyle w:val="Paragrafi"/>
      </w:pPr>
      <w:r w:rsidRPr="00440B55">
        <w:t>2.2.3 Montimi</w:t>
      </w:r>
    </w:p>
    <w:p w:rsidR="006A00A4" w:rsidRPr="00440B55" w:rsidRDefault="006A00A4" w:rsidP="006A00A4">
      <w:pPr>
        <w:pStyle w:val="Paragrafi"/>
      </w:pPr>
      <w:r w:rsidRPr="00440B55">
        <w:lastRenderedPageBreak/>
        <w:t xml:space="preserve">Montimi i elementeve përbërëse të sistemit duhet të jetë i thjeshtë dhe i sigurt në kushtet e zbatimit të tyre në kantier. Në masën që do </w:t>
      </w:r>
      <w:r>
        <w:t xml:space="preserve">të </w:t>
      </w:r>
      <w:r w:rsidRPr="00440B55">
        <w:t>jetë e domosdoshme, prodhuesi duhet të marrë masa për të përgatitur montatorë të specializuar, si dhe për t’i pa</w:t>
      </w:r>
      <w:r>
        <w:t>j</w:t>
      </w:r>
      <w:r w:rsidRPr="00440B55">
        <w:t>isur me mjetet e nevojshme.</w:t>
      </w:r>
    </w:p>
    <w:p w:rsidR="006A00A4" w:rsidRPr="00440B55" w:rsidRDefault="006A00A4" w:rsidP="006A00A4">
      <w:pPr>
        <w:pStyle w:val="Paragrafi"/>
      </w:pPr>
      <w:r w:rsidRPr="00440B55">
        <w:t>2.2.4 Ndryshu</w:t>
      </w:r>
      <w:r>
        <w:t>e</w:t>
      </w:r>
      <w:r w:rsidRPr="00440B55">
        <w:t>shmëria e ndërsjellë</w:t>
      </w:r>
    </w:p>
    <w:p w:rsidR="006A00A4" w:rsidRDefault="006A00A4" w:rsidP="006A00A4">
      <w:pPr>
        <w:pStyle w:val="Paragrafi"/>
      </w:pPr>
      <w:r w:rsidRPr="00440B55">
        <w:t>Programi i zbatimit të kanalizimeve duhet parashikuar në atë mënyrë që montimi i materialeve të ndryshme përbërës</w:t>
      </w:r>
      <w:r>
        <w:t>e</w:t>
      </w:r>
      <w:r w:rsidRPr="00440B55">
        <w:t xml:space="preserve"> të mos kërkojë përdorimin e pjesëve ndërmjetëse. Prandaj është e domosdoshme të merret në konsideratë dhe të shqyrtohet përputhshmëria kimike e materialeve të ndryshme. Nëse nuk është i mundur një bashkim direkt, duhet të parashikohen pjesë për bashkimin e tubave dhe rakorderive të tipeve të tjera.</w:t>
      </w:r>
    </w:p>
    <w:p w:rsidR="006A00A4" w:rsidRDefault="006A00A4" w:rsidP="006A00A4">
      <w:pPr>
        <w:pStyle w:val="Paragrafi"/>
      </w:pPr>
    </w:p>
    <w:p w:rsidR="006A00A4" w:rsidRDefault="006A00A4" w:rsidP="006A00A4">
      <w:pPr>
        <w:pStyle w:val="Paragrafi"/>
      </w:pPr>
    </w:p>
    <w:p w:rsidR="006A00A4" w:rsidRDefault="006A00A4" w:rsidP="006A00A4">
      <w:pPr>
        <w:pStyle w:val="Paragrafi"/>
      </w:pPr>
    </w:p>
    <w:p w:rsidR="006A00A4" w:rsidRDefault="006A00A4" w:rsidP="006A00A4">
      <w:pPr>
        <w:pStyle w:val="Paragrafi"/>
      </w:pPr>
    </w:p>
    <w:p w:rsidR="006A00A4" w:rsidRPr="00AC10A7" w:rsidRDefault="006A00A4" w:rsidP="006A00A4">
      <w:pPr>
        <w:pStyle w:val="Paragrafi"/>
      </w:pPr>
    </w:p>
    <w:p w:rsidR="006A00A4" w:rsidRPr="00440B55" w:rsidRDefault="006A00A4" w:rsidP="006A00A4">
      <w:pPr>
        <w:pStyle w:val="TitulliTitull"/>
      </w:pPr>
      <w:r w:rsidRPr="00440B55">
        <w:t>PJESA E</w:t>
      </w:r>
      <w:r>
        <w:t xml:space="preserve"> </w:t>
      </w:r>
      <w:r w:rsidRPr="00440B55">
        <w:t>TRETË</w:t>
      </w:r>
    </w:p>
    <w:p w:rsidR="006A00A4" w:rsidRDefault="006A00A4" w:rsidP="006A00A4">
      <w:pPr>
        <w:pStyle w:val="TitulliTitull"/>
      </w:pPr>
      <w:r>
        <w:t>Përcaktimi i k</w:t>
      </w:r>
      <w:r w:rsidRPr="00440B55">
        <w:t>arakteristikave</w:t>
      </w:r>
    </w:p>
    <w:p w:rsidR="006A00A4" w:rsidRPr="00B97C42" w:rsidRDefault="006A00A4" w:rsidP="006A00A4">
      <w:pPr>
        <w:pStyle w:val="TitulliTitull"/>
        <w:rPr>
          <w:sz w:val="4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3.1</w:t>
      </w:r>
      <w:r w:rsidRPr="00440B55">
        <w:rPr>
          <w:lang w:val="it-IT"/>
        </w:rPr>
        <w:t xml:space="preserve"> Prova të përgjithshme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3.1.1</w:t>
      </w:r>
      <w:r w:rsidRPr="00440B55">
        <w:rPr>
          <w:lang w:val="it-IT"/>
        </w:rPr>
        <w:t xml:space="preserve"> Aftësia mbajtëse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Kontrolli i aftësisë mbajtëse në tërësi kry</w:t>
      </w:r>
      <w:r>
        <w:rPr>
          <w:lang w:val="it-IT"/>
        </w:rPr>
        <w:t>h</w:t>
      </w:r>
      <w:r w:rsidRPr="00440B55">
        <w:rPr>
          <w:lang w:val="it-IT"/>
        </w:rPr>
        <w:t>et për çdo diametër nominal mbi elementet e montuara të paraqitur</w:t>
      </w:r>
      <w:r>
        <w:rPr>
          <w:lang w:val="it-IT"/>
        </w:rPr>
        <w:t>a</w:t>
      </w:r>
      <w:r w:rsidRPr="00440B55">
        <w:rPr>
          <w:lang w:val="it-IT"/>
        </w:rPr>
        <w:t xml:space="preserve"> në formë skematike në figurën 3. Këto të fundit duhet të jenë të tilla që vlera e moszgjatimit </w:t>
      </w:r>
      <w:r w:rsidRPr="00440B55">
        <w:rPr>
          <w:lang w:val="it-IT"/>
        </w:rPr>
        <w:sym w:font="Symbol" w:char="F061"/>
      </w:r>
      <w:r w:rsidRPr="00440B55">
        <w:rPr>
          <w:lang w:val="it-IT"/>
        </w:rPr>
        <w:t>(</w:t>
      </w:r>
      <w:r w:rsidRPr="00231427">
        <w:rPr>
          <w:rStyle w:val="FootnoteReference"/>
          <w:lang w:val="it-IT"/>
        </w:rPr>
        <w:footnoteReference w:customMarkFollows="1" w:id="1"/>
        <w:sym w:font="Symbol" w:char="F02A"/>
      </w:r>
      <w:r w:rsidRPr="00440B55">
        <w:rPr>
          <w:lang w:val="it-IT"/>
        </w:rPr>
        <w:t xml:space="preserve">) dhe e deformimit </w:t>
      </w:r>
      <w:r w:rsidRPr="00440B55">
        <w:rPr>
          <w:lang w:val="it-IT"/>
        </w:rPr>
        <w:sym w:font="Symbol" w:char="F073"/>
      </w:r>
      <w:r w:rsidRPr="00440B55">
        <w:rPr>
          <w:lang w:val="it-IT"/>
        </w:rPr>
        <w:t>(</w:t>
      </w:r>
      <w:r w:rsidRPr="00231427">
        <w:rPr>
          <w:rStyle w:val="FootnoteReference"/>
          <w:lang w:val="it-IT"/>
        </w:rPr>
        <w:footnoteReference w:customMarkFollows="1" w:id="2"/>
        <w:sym w:font="Symbol" w:char="F02A"/>
      </w:r>
      <w:r w:rsidRPr="00231427">
        <w:rPr>
          <w:rStyle w:val="FootnoteReference"/>
          <w:lang w:val="it-IT"/>
        </w:rPr>
        <w:footnoteReference w:customMarkFollows="1" w:id="3"/>
        <w:sym w:font="Symbol" w:char="F02A"/>
      </w:r>
      <w:r w:rsidRPr="00440B55">
        <w:rPr>
          <w:lang w:val="it-IT"/>
        </w:rPr>
        <w:t>) t’i kor</w:t>
      </w:r>
      <w:r>
        <w:rPr>
          <w:lang w:val="it-IT"/>
        </w:rPr>
        <w:t>r</w:t>
      </w:r>
      <w:r w:rsidRPr="00440B55">
        <w:rPr>
          <w:lang w:val="it-IT"/>
        </w:rPr>
        <w:t>espondojnë së paku vlerave minimale të vendosura për bashkimet relative.</w:t>
      </w: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0549AC" w:rsidP="006A00A4">
      <w:pPr>
        <w:pStyle w:val="Paragrafi"/>
        <w:rPr>
          <w:lang w:val="it-IT"/>
        </w:rPr>
      </w:pPr>
      <w:r w:rsidRPr="00440B55">
        <w:rPr>
          <w:noProof/>
          <w:lang w:val="en-GB" w:eastAsia="en-GB"/>
        </w:rPr>
        <w:drawing>
          <wp:inline distT="0" distB="0" distL="0" distR="0">
            <wp:extent cx="4133850" cy="5372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537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3.1.1.1 Bashkimi i tubacioneve (fig.3)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Montimi përfshin tri pjesë tubash dhe dy xhuntime (bashkime). Tubat e përdorur nuk duhet të kalojnë maksimumin e ovalitetit të pranuar (sipas limiteve të përcaktuara për materialin e përdorur). Montimi duhet të realizohet në tri</w:t>
      </w:r>
      <w:r>
        <w:rPr>
          <w:lang w:val="it-IT"/>
        </w:rPr>
        <w:t xml:space="preserve"> mënyra të ndryshme: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E para - akset e tubacioneve janë në vijë të drejtë.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 xml:space="preserve">E dyta - aksi i tubit kryesor është i devijuar në një plan vertikal me një vlerë </w:t>
      </w:r>
      <w:r w:rsidRPr="00440B55">
        <w:rPr>
          <w:lang w:val="it-IT"/>
        </w:rPr>
        <w:sym w:font="Symbol" w:char="F073"/>
      </w:r>
      <w:r>
        <w:rPr>
          <w:lang w:val="it-IT"/>
        </w:rPr>
        <w:t xml:space="preserve"> </w:t>
      </w:r>
      <w:r w:rsidRPr="00440B55">
        <w:rPr>
          <w:lang w:val="it-IT"/>
        </w:rPr>
        <w:t>në raport me akset e tubave të tjerë.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 xml:space="preserve">E treta - aksi i tubit qendror krijon një kënd </w:t>
      </w:r>
      <w:r w:rsidRPr="00440B55">
        <w:rPr>
          <w:lang w:val="it-IT"/>
        </w:rPr>
        <w:sym w:font="Symbol" w:char="F061"/>
      </w:r>
      <w:r w:rsidRPr="00440B55">
        <w:rPr>
          <w:lang w:val="it-IT"/>
        </w:rPr>
        <w:t xml:space="preserve"> me akset e tubave të tjerë.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3.1.1.2 Bashkimi tub-</w:t>
      </w:r>
      <w:r w:rsidRPr="00440B55">
        <w:rPr>
          <w:lang w:val="it-IT"/>
        </w:rPr>
        <w:t>rakorderi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Montimi përfshin një element të tubit dhe një rakorderi që sjell një bashkim.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Rakordi duhet të jetë i manovrues</w:t>
      </w:r>
      <w:r>
        <w:rPr>
          <w:lang w:val="it-IT"/>
        </w:rPr>
        <w:t>hëm në ekstremitetet e tubit (</w:t>
      </w:r>
      <w:r w:rsidRPr="00CE03AA">
        <w:rPr>
          <w:vertAlign w:val="superscript"/>
          <w:lang w:val="it-IT"/>
        </w:rPr>
        <w:t>8</w:t>
      </w:r>
      <w:r>
        <w:rPr>
          <w:lang w:val="it-IT"/>
        </w:rPr>
        <w:t>).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3.1.1.3 Aftësia mbajtëse e gazrave (erërave)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Si rregull i përgjithshëm, bashkimet me prezencë ujërash t</w:t>
      </w:r>
      <w:r>
        <w:rPr>
          <w:lang w:val="it-IT"/>
        </w:rPr>
        <w:t>ë ndryshme</w:t>
      </w:r>
      <w:r w:rsidRPr="00440B55">
        <w:rPr>
          <w:lang w:val="it-IT"/>
        </w:rPr>
        <w:t xml:space="preserve"> kanë edhe prezencë gazrash. Sidoqoftë, është e nevojshme të verifikohet kjo prezencë në rastin e bashkimeve me xhunto të paraformuara në elastomeri të barabarta me ato të përshtatura për kolektorët e shkarkimeve individuale të vaskave të WC dhe urinoreve, si dhe në rastin e kontrolleve të pajisjeve dhe sifonëve të pozicionuar brenda muraturës ose dyshemesë në një fazë të dytë. Në këtë rast duhet të aplikohet metoda e mëposhtme e provave: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mbyllja e ekstremiteteve të elementeve të përdorur</w:t>
      </w:r>
      <w:r>
        <w:rPr>
          <w:lang w:val="it-IT"/>
        </w:rPr>
        <w:t>a</w:t>
      </w:r>
      <w:r w:rsidRPr="00440B55">
        <w:rPr>
          <w:lang w:val="it-IT"/>
        </w:rPr>
        <w:t>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lyerja me ujë me sapun e pjesëve bashkuese mashkull-femër të tubave;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 xml:space="preserve">- </w:t>
      </w:r>
      <w:r>
        <w:rPr>
          <w:lang w:val="it-IT"/>
        </w:rPr>
        <w:t>aplikimi me progresion kostant të</w:t>
      </w:r>
      <w:r w:rsidRPr="00440B55">
        <w:rPr>
          <w:lang w:val="it-IT"/>
        </w:rPr>
        <w:t xml:space="preserve"> një presioni ajri prej 0,01 bar;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mbajtja e presionit për 1 minutë;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verifikohet nëse në xhuntot e bashkimit vërehen shfryrje që dallohen nga flluckat që krijohen.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Prova vlerësohet e kë</w:t>
      </w:r>
      <w:r w:rsidRPr="00440B55">
        <w:rPr>
          <w:lang w:val="it-IT"/>
        </w:rPr>
        <w:t>naqshme në qoftë se nuk krijohen bulëza ajri në vendet ku janë bërë bashkimet e xhuntove.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3.1.1.4 Aftësia mbajtëse ndaj ujit: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mbyllen ekstremitetet e tubave të montuar;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rimbushen me ujë tubat e montuar dhe largohet ajri nga pjesa e sipërme e tubit;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aplikohet presion prej 0,5 bar sipa</w:t>
      </w:r>
      <w:r>
        <w:rPr>
          <w:lang w:val="it-IT"/>
        </w:rPr>
        <w:t>s grafikut të paraqitur në fig.</w:t>
      </w:r>
      <w:r w:rsidRPr="00440B55">
        <w:rPr>
          <w:lang w:val="it-IT"/>
        </w:rPr>
        <w:t>4, duke e rritur gradualisht dhe pa goditje në 15 minuta dhe duke mbajtur këtë presion për 15 minuta;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shënohe</w:t>
      </w:r>
      <w:r>
        <w:rPr>
          <w:lang w:val="it-IT"/>
        </w:rPr>
        <w:t>n humbjet eventuale që çfaqen në</w:t>
      </w:r>
      <w:r w:rsidRPr="00440B55">
        <w:rPr>
          <w:lang w:val="it-IT"/>
        </w:rPr>
        <w:t xml:space="preserve"> formë</w:t>
      </w:r>
      <w:r>
        <w:rPr>
          <w:lang w:val="it-IT"/>
        </w:rPr>
        <w:t xml:space="preserve"> bulëzash uji përgjatë</w:t>
      </w:r>
      <w:r w:rsidRPr="00440B55">
        <w:rPr>
          <w:lang w:val="it-IT"/>
        </w:rPr>
        <w:t xml:space="preserve"> xhuntove;</w:t>
      </w: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0549AC" w:rsidP="006A00A4">
      <w:pPr>
        <w:pStyle w:val="Paragrafi"/>
        <w:rPr>
          <w:lang w:val="it-IT"/>
        </w:rPr>
      </w:pPr>
      <w:r w:rsidRPr="00440B55">
        <w:rPr>
          <w:noProof/>
          <w:lang w:val="en-GB" w:eastAsia="en-GB"/>
        </w:rPr>
        <w:drawing>
          <wp:inline distT="0" distB="0" distL="0" distR="0">
            <wp:extent cx="3305175" cy="25717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ind w:firstLine="0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Shënim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Në montimin e paraqitur sipas fig.4, mbajtja e presionit në fund të provës kontrollohet gjithashtu duke manovruar rakordet në ekstremitetet e tubave. Prova konsiderohet e kënaqshme nëse nuk do të ketë humbje uji në vendet e bashkimit të xhuntove.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31.2 Paraqitja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Ë</w:t>
      </w:r>
      <w:r w:rsidRPr="00440B55">
        <w:rPr>
          <w:lang w:val="it-IT"/>
        </w:rPr>
        <w:t>shtë e nevojshme të vrojtohen paretet e brendshme dhe të jashtme të tubave dhe rakordeve me një</w:t>
      </w:r>
      <w:r>
        <w:rPr>
          <w:lang w:val="it-IT"/>
        </w:rPr>
        <w:t xml:space="preserve"> ndriçues të përshtatshëm (</w:t>
      </w:r>
      <w:r w:rsidRPr="00440B55">
        <w:rPr>
          <w:lang w:val="it-IT"/>
        </w:rPr>
        <w:t>ose p.sh. kundërdritë)</w:t>
      </w:r>
      <w:r>
        <w:rPr>
          <w:lang w:val="it-IT"/>
        </w:rPr>
        <w:t>.</w:t>
      </w:r>
    </w:p>
    <w:p w:rsidR="006A00A4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Duke pasur parasysh materialet e përdorura, duhet verifikuar parregullsia e sipërfaqeve dhe e faqeve fundore që janë të rëndësishme për të përcaktuar cilësinë e tubave dhe që kanë ndikim në funksionimin e sistemit.</w:t>
      </w: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3.1.3 Dimensionet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Kontrolli i dimensioneve dhe në veçanti ai i dimensioneve funksionale duhet të bëhet për çdo diametër nominal për 10 tuba ose për 10 rakorde (duke zgjedhur sipas dëshirës 5 b</w:t>
      </w:r>
      <w:r>
        <w:rPr>
          <w:lang w:val="it-IT"/>
        </w:rPr>
        <w:t>ë</w:t>
      </w:r>
      <w:r w:rsidRPr="00440B55">
        <w:rPr>
          <w:lang w:val="it-IT"/>
        </w:rPr>
        <w:t>ryla ose 5 rakorde në formë T-je</w:t>
      </w:r>
      <w:r>
        <w:rPr>
          <w:lang w:val="it-IT"/>
        </w:rPr>
        <w:t>)</w:t>
      </w:r>
      <w:r w:rsidRPr="00440B55">
        <w:rPr>
          <w:lang w:val="it-IT"/>
        </w:rPr>
        <w:t>. Saktësia e matjeve duhet të jetë 0,1 mm.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Dimensionet e përcaktuara në këtë formë duhet të jenë konform me dimensionet e ndryshme dhe tolerancat e deklaruara nga kërkuesi dhe në përputhje me standardet ose rekomandimet e ISO/EN dhe në mungesë të tyre me standardet kombëtare.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3.1.4 Rezistenca ndaj nxehtësisë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 xml:space="preserve">Në pritje që kërkimet e tanishme të përcaktojnë qartë një provë të përbashkët për qëndrueshmërinë e sistemit të kanalizimeve për derdhjet me temperaturë, janë vendosur provizorisht dy metoda provash A dhe </w:t>
      </w:r>
      <w:r>
        <w:rPr>
          <w:lang w:val="it-IT"/>
        </w:rPr>
        <w:t>B sipas përcaktimevë të mëposht</w:t>
      </w:r>
      <w:r w:rsidRPr="00440B55">
        <w:rPr>
          <w:lang w:val="it-IT"/>
        </w:rPr>
        <w:t>me.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3.1.4.1</w:t>
      </w:r>
      <w:r w:rsidRPr="00440B55">
        <w:rPr>
          <w:lang w:val="it-IT"/>
        </w:rPr>
        <w:t xml:space="preserve"> Metoda A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Për realizimin e kësaj prove duhet montuar një sistem sipas figurës 5 dhe duke e ngarkuar si më poshtë: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 xml:space="preserve">a) 30 </w:t>
      </w:r>
      <w:r>
        <w:rPr>
          <w:lang w:val="it-IT"/>
        </w:rPr>
        <w:t>l/min,</w:t>
      </w:r>
      <w:r w:rsidRPr="00440B55">
        <w:rPr>
          <w:lang w:val="it-IT"/>
        </w:rPr>
        <w:t>+95°C</w:t>
      </w:r>
      <w:r>
        <w:rPr>
          <w:lang w:val="it-IT"/>
        </w:rPr>
        <w:t xml:space="preserve"> </w:t>
      </w:r>
      <w:r w:rsidRPr="00440B55">
        <w:rPr>
          <w:lang w:val="it-IT"/>
        </w:rPr>
        <w:t>për një minutë;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b) 1 minutë pushim;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c) 30 1/min</w:t>
      </w:r>
      <w:r w:rsidRPr="00440B55">
        <w:rPr>
          <w:lang w:val="it-IT"/>
        </w:rPr>
        <w:t xml:space="preserve"> nga + 10 °C deri në 15°C (ujë rubineti) për 1 minutë.</w:t>
      </w:r>
    </w:p>
    <w:p w:rsidR="006A00A4" w:rsidRPr="00440B55" w:rsidRDefault="006A00A4" w:rsidP="006A00A4">
      <w:pPr>
        <w:pStyle w:val="Paragrafi"/>
      </w:pPr>
      <w:r w:rsidRPr="00440B55">
        <w:t>d) 1 minutë pushim.</w:t>
      </w:r>
    </w:p>
    <w:p w:rsidR="006A00A4" w:rsidRPr="00440B55" w:rsidRDefault="006A00A4" w:rsidP="006A00A4">
      <w:pPr>
        <w:pStyle w:val="Paragrafi"/>
      </w:pPr>
      <w:r w:rsidRPr="00440B55">
        <w:t>Ky cikël duhet të përsëritet 1500 herë (100 orë gjithsej). Përveç kësaj, pas ciklit të fundit duhet kryer një qarkullim uji me temperaturë 95°C për një kohë prej 20 minuta. Në vazhdim duhet mbushur me ujë nga sistemi duke e mbajtur nën vrojtim për 15 minuta (prova e aftësisë mbajtëse), e nevojshme të matet treguesi i shigjetës h.</w:t>
      </w:r>
    </w:p>
    <w:p w:rsidR="006A00A4" w:rsidRPr="00440B55" w:rsidRDefault="000549AC" w:rsidP="006A00A4">
      <w:pPr>
        <w:pStyle w:val="Paragrafi"/>
      </w:pPr>
      <w:r w:rsidRPr="00440B55">
        <w:rPr>
          <w:noProof/>
          <w:lang w:val="en-GB" w:eastAsia="en-GB"/>
        </w:rPr>
        <w:drawing>
          <wp:inline distT="0" distB="0" distL="0" distR="0">
            <wp:extent cx="3886200" cy="34099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40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0A4" w:rsidRPr="00440B55" w:rsidRDefault="006A00A4" w:rsidP="006A00A4">
      <w:pPr>
        <w:pStyle w:val="Paragrafi"/>
        <w:ind w:firstLine="0"/>
      </w:pPr>
    </w:p>
    <w:p w:rsidR="006A00A4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F</w:t>
      </w:r>
      <w:r>
        <w:rPr>
          <w:lang w:val="it-IT"/>
        </w:rPr>
        <w:t>ig.5 Tubacioni vendoset pë</w:t>
      </w:r>
      <w:r w:rsidRPr="00440B55">
        <w:rPr>
          <w:lang w:val="it-IT"/>
        </w:rPr>
        <w:t xml:space="preserve">rballë në një mur fiks ose </w:t>
      </w:r>
      <w:r>
        <w:rPr>
          <w:lang w:val="it-IT"/>
        </w:rPr>
        <w:t xml:space="preserve">në </w:t>
      </w:r>
      <w:r w:rsidRPr="00440B55">
        <w:rPr>
          <w:lang w:val="it-IT"/>
        </w:rPr>
        <w:t>një strukturë dhe montohet me qafore fiksuese. Vendosj</w:t>
      </w:r>
      <w:r>
        <w:rPr>
          <w:lang w:val="it-IT"/>
        </w:rPr>
        <w:t>a e qaforeve ose e mbajtëseve të</w:t>
      </w:r>
      <w:r w:rsidRPr="00440B55">
        <w:rPr>
          <w:lang w:val="it-IT"/>
        </w:rPr>
        <w:t xml:space="preserve"> tjera bëhet sipas udhëzimeve të montimit. Kalimi i ujit të mbinxehur bëhet direkt pa dispozitiv të ndërmjetëm pë</w:t>
      </w:r>
      <w:r>
        <w:rPr>
          <w:lang w:val="it-IT"/>
        </w:rPr>
        <w:t>r ftohjen e tij. Në</w:t>
      </w:r>
      <w:r w:rsidRPr="00440B55">
        <w:rPr>
          <w:lang w:val="it-IT"/>
        </w:rPr>
        <w:t xml:space="preserve"> rastin e një tubacioni pa mundësi bymimi ose tkurrjeje të pjesëve të bashkuara, është e nevojshme të vendosen pjesë</w:t>
      </w:r>
      <w:r>
        <w:rPr>
          <w:lang w:val="it-IT"/>
        </w:rPr>
        <w:t>t e nevojshme pë</w:t>
      </w:r>
      <w:r w:rsidRPr="00440B55">
        <w:rPr>
          <w:lang w:val="it-IT"/>
        </w:rPr>
        <w:t>r efekte diletacioni.</w:t>
      </w:r>
    </w:p>
    <w:p w:rsidR="006A00A4" w:rsidRDefault="006A00A4" w:rsidP="006A00A4">
      <w:pPr>
        <w:pStyle w:val="Paragrafi"/>
        <w:rPr>
          <w:lang w:val="it-IT"/>
        </w:rPr>
      </w:pPr>
    </w:p>
    <w:p w:rsidR="006A00A4" w:rsidRDefault="006A00A4" w:rsidP="006A00A4">
      <w:pPr>
        <w:pStyle w:val="Paragrafi"/>
        <w:rPr>
          <w:lang w:val="it-IT"/>
        </w:rPr>
      </w:pPr>
    </w:p>
    <w:p w:rsidR="006A00A4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3.1.4.2</w:t>
      </w:r>
      <w:r w:rsidRPr="00440B55">
        <w:rPr>
          <w:lang w:val="it-IT"/>
        </w:rPr>
        <w:t xml:space="preserve"> Metoda B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Prova kryet me një nga katër llojet e rakordeve A në skemën e montimit të paraqitur në figurën 6 në kushtet e mëposhtme: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a) kontrollohet aftësia mbajtëse e bashkimit me një provë të kryer me ajër me një presion prej 0.01 bar dhe një provë tjetër me ujë me presion 0.5 bar.</w:t>
      </w:r>
    </w:p>
    <w:p w:rsidR="006A00A4" w:rsidRPr="00440B55" w:rsidRDefault="006A00A4" w:rsidP="006A00A4">
      <w:pPr>
        <w:pStyle w:val="Paragrafi"/>
      </w:pPr>
      <w:r w:rsidRPr="00440B55">
        <w:t>b) kryet cikli i provës 5 herë vazhdimisht: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qarkullimi i ujit në 95°C për 15 mi</w:t>
      </w:r>
      <w:r>
        <w:rPr>
          <w:lang w:val="it-IT"/>
        </w:rPr>
        <w:t>nuta (prurje e njëjtë me 18 1/min</w:t>
      </w:r>
      <w:r w:rsidRPr="00440B55">
        <w:rPr>
          <w:lang w:val="it-IT"/>
        </w:rPr>
        <w:t>);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- menjëherë pas kësaj</w:t>
      </w:r>
      <w:r>
        <w:rPr>
          <w:lang w:val="it-IT"/>
        </w:rPr>
        <w:t>,</w:t>
      </w:r>
      <w:r w:rsidRPr="00440B55">
        <w:rPr>
          <w:lang w:val="it-IT"/>
        </w:rPr>
        <w:t xml:space="preserve"> qarkull</w:t>
      </w:r>
      <w:r>
        <w:rPr>
          <w:lang w:val="it-IT"/>
        </w:rPr>
        <w:t>im i ujit të ftohtë (15±5</w:t>
      </w:r>
      <w:r w:rsidRPr="00440B55">
        <w:rPr>
          <w:lang w:val="it-IT"/>
        </w:rPr>
        <w:t>°C) për 10 m</w:t>
      </w:r>
      <w:r>
        <w:rPr>
          <w:lang w:val="it-IT"/>
        </w:rPr>
        <w:t>inuta prurja e njëjtë me 18 1/min</w:t>
      </w:r>
      <w:r w:rsidRPr="00440B55">
        <w:rPr>
          <w:lang w:val="it-IT"/>
        </w:rPr>
        <w:t>.</w:t>
      </w: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0549AC" w:rsidP="006A00A4">
      <w:pPr>
        <w:pStyle w:val="Paragrafi"/>
        <w:rPr>
          <w:lang w:val="it-IT"/>
        </w:rPr>
      </w:pPr>
      <w:r w:rsidRPr="00440B55">
        <w:rPr>
          <w:noProof/>
          <w:lang w:val="en-GB" w:eastAsia="en-GB"/>
        </w:rPr>
        <w:drawing>
          <wp:inline distT="0" distB="0" distL="0" distR="0">
            <wp:extent cx="3219450" cy="35337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0A4" w:rsidRPr="00440B55" w:rsidRDefault="006A00A4" w:rsidP="006A00A4">
      <w:pPr>
        <w:pStyle w:val="Paragrafi"/>
        <w:ind w:firstLine="0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P</w:t>
      </w:r>
      <w:r w:rsidRPr="00440B55">
        <w:rPr>
          <w:lang w:val="it-IT"/>
        </w:rPr>
        <w:t>as 5 cikleve kontrollohet përsëri mbajtja e presionit në bashkueset e ajrit me presion 0.01 bar dhe me ujë me presion 0.05 bar.</w:t>
      </w:r>
    </w:p>
    <w:p w:rsidR="006A00A4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Për bashkimet me xhunto zgjatuese</w:t>
      </w:r>
      <w:r>
        <w:rPr>
          <w:lang w:val="it-IT"/>
        </w:rPr>
        <w:t xml:space="preserve"> </w:t>
      </w:r>
      <w:r w:rsidRPr="00440B55">
        <w:rPr>
          <w:lang w:val="it-IT"/>
        </w:rPr>
        <w:t>(teleskop</w:t>
      </w:r>
      <w:r>
        <w:rPr>
          <w:lang w:val="it-IT"/>
        </w:rPr>
        <w:t>ike) duhet vepruar me tuba të</w:t>
      </w:r>
      <w:r w:rsidRPr="00440B55">
        <w:rPr>
          <w:lang w:val="it-IT"/>
        </w:rPr>
        <w:t xml:space="preserve"> cilët kanë kokë bashkuese ose me rakorde me kokë mashkull.</w:t>
      </w:r>
    </w:p>
    <w:p w:rsidR="006A00A4" w:rsidRPr="00440B55" w:rsidRDefault="006A00A4" w:rsidP="006A00A4">
      <w:pPr>
        <w:pStyle w:val="Paragrafi"/>
        <w:rPr>
          <w:lang w:val="it-IT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259"/>
        <w:gridCol w:w="1547"/>
        <w:gridCol w:w="1298"/>
        <w:gridCol w:w="1080"/>
        <w:gridCol w:w="1260"/>
        <w:gridCol w:w="1260"/>
      </w:tblGrid>
      <w:tr w:rsidR="006A00A4" w:rsidRPr="00440B55">
        <w:trPr>
          <w:jc w:val="center"/>
        </w:trPr>
        <w:tc>
          <w:tcPr>
            <w:tcW w:w="1259" w:type="dxa"/>
          </w:tcPr>
          <w:p w:rsidR="006A00A4" w:rsidRPr="00440B55" w:rsidRDefault="006A00A4" w:rsidP="006A00A4">
            <w:pPr>
              <w:pStyle w:val="Tabele"/>
              <w:jc w:val="center"/>
            </w:pPr>
          </w:p>
        </w:tc>
        <w:tc>
          <w:tcPr>
            <w:tcW w:w="1547" w:type="dxa"/>
          </w:tcPr>
          <w:p w:rsidR="006A00A4" w:rsidRPr="00440B55" w:rsidRDefault="006A00A4" w:rsidP="006A00A4">
            <w:pPr>
              <w:pStyle w:val="Tabele"/>
              <w:jc w:val="center"/>
            </w:pPr>
          </w:p>
        </w:tc>
        <w:tc>
          <w:tcPr>
            <w:tcW w:w="1298" w:type="dxa"/>
          </w:tcPr>
          <w:p w:rsidR="006A00A4" w:rsidRPr="00440B55" w:rsidRDefault="006A00A4" w:rsidP="006A00A4">
            <w:pPr>
              <w:pStyle w:val="Tabele"/>
              <w:jc w:val="center"/>
            </w:pPr>
          </w:p>
        </w:tc>
        <w:tc>
          <w:tcPr>
            <w:tcW w:w="3600" w:type="dxa"/>
            <w:gridSpan w:val="3"/>
          </w:tcPr>
          <w:p w:rsidR="006A00A4" w:rsidRPr="00440B55" w:rsidRDefault="006A00A4" w:rsidP="006A00A4">
            <w:pPr>
              <w:pStyle w:val="Tabele"/>
              <w:jc w:val="center"/>
            </w:pPr>
            <w:r w:rsidRPr="00440B55">
              <w:t>Distanca  mbështetëse</w:t>
            </w:r>
          </w:p>
        </w:tc>
      </w:tr>
      <w:tr w:rsidR="006A00A4" w:rsidRPr="00440B55">
        <w:trPr>
          <w:jc w:val="center"/>
        </w:trPr>
        <w:tc>
          <w:tcPr>
            <w:tcW w:w="1259" w:type="dxa"/>
          </w:tcPr>
          <w:p w:rsidR="006A00A4" w:rsidRPr="00440B55" w:rsidRDefault="006A00A4" w:rsidP="006A00A4">
            <w:pPr>
              <w:pStyle w:val="Tabele"/>
            </w:pPr>
            <w:r w:rsidRPr="00440B55">
              <w:t>Simboli</w:t>
            </w:r>
          </w:p>
        </w:tc>
        <w:tc>
          <w:tcPr>
            <w:tcW w:w="1547" w:type="dxa"/>
          </w:tcPr>
          <w:p w:rsidR="006A00A4" w:rsidRPr="00440B55" w:rsidRDefault="006A00A4" w:rsidP="006A00A4">
            <w:pPr>
              <w:pStyle w:val="Tabele"/>
            </w:pPr>
            <w:r w:rsidRPr="00440B55">
              <w:t>Pozicioni i tubacionit</w:t>
            </w:r>
          </w:p>
        </w:tc>
        <w:tc>
          <w:tcPr>
            <w:tcW w:w="1298" w:type="dxa"/>
          </w:tcPr>
          <w:p w:rsidR="006A00A4" w:rsidRPr="00440B55" w:rsidRDefault="006A00A4" w:rsidP="006A00A4">
            <w:pPr>
              <w:pStyle w:val="Tabele"/>
            </w:pPr>
            <w:r w:rsidRPr="00440B55">
              <w:t>Diamet</w:t>
            </w:r>
            <w:r>
              <w:t>r</w:t>
            </w:r>
            <w:r w:rsidRPr="00440B55">
              <w:t>i nominal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DN</w:t>
            </w:r>
          </w:p>
        </w:tc>
        <w:tc>
          <w:tcPr>
            <w:tcW w:w="1080" w:type="dxa"/>
          </w:tcPr>
          <w:p w:rsidR="006A00A4" w:rsidRPr="00440B55" w:rsidRDefault="006A00A4" w:rsidP="006A00A4">
            <w:pPr>
              <w:pStyle w:val="Tabele"/>
            </w:pPr>
            <w:r w:rsidRPr="00440B55">
              <w:t>CD 1</w:t>
            </w:r>
          </w:p>
        </w:tc>
        <w:tc>
          <w:tcPr>
            <w:tcW w:w="1260" w:type="dxa"/>
          </w:tcPr>
          <w:p w:rsidR="006A00A4" w:rsidRPr="00440B55" w:rsidRDefault="006A00A4" w:rsidP="006A00A4">
            <w:pPr>
              <w:pStyle w:val="Tabele"/>
            </w:pPr>
            <w:r w:rsidRPr="00440B55">
              <w:t>CD2</w:t>
            </w:r>
          </w:p>
        </w:tc>
        <w:tc>
          <w:tcPr>
            <w:tcW w:w="1260" w:type="dxa"/>
          </w:tcPr>
          <w:p w:rsidR="006A00A4" w:rsidRPr="00440B55" w:rsidRDefault="006A00A4" w:rsidP="006A00A4">
            <w:pPr>
              <w:pStyle w:val="Tabele"/>
            </w:pPr>
            <w:r w:rsidRPr="00440B55">
              <w:t>CD3</w:t>
            </w:r>
          </w:p>
        </w:tc>
      </w:tr>
      <w:tr w:rsidR="006A00A4" w:rsidRPr="00440B55">
        <w:trPr>
          <w:jc w:val="center"/>
        </w:trPr>
        <w:tc>
          <w:tcPr>
            <w:tcW w:w="1259" w:type="dxa"/>
          </w:tcPr>
          <w:p w:rsidR="006A00A4" w:rsidRPr="00440B55" w:rsidRDefault="006A00A4" w:rsidP="006A00A4">
            <w:pPr>
              <w:pStyle w:val="Tabele"/>
            </w:pPr>
            <w:r w:rsidRPr="00440B55">
              <w:t>D1</w:t>
            </w:r>
          </w:p>
        </w:tc>
        <w:tc>
          <w:tcPr>
            <w:tcW w:w="1547" w:type="dxa"/>
          </w:tcPr>
          <w:p w:rsidR="006A00A4" w:rsidRPr="00440B55" w:rsidRDefault="006A00A4" w:rsidP="006A00A4">
            <w:pPr>
              <w:pStyle w:val="Tabele"/>
            </w:pPr>
            <w:r>
              <w:t>H</w:t>
            </w:r>
            <w:r w:rsidRPr="00440B55">
              <w:t>orizontale</w:t>
            </w:r>
          </w:p>
        </w:tc>
        <w:tc>
          <w:tcPr>
            <w:tcW w:w="1298" w:type="dxa"/>
          </w:tcPr>
          <w:p w:rsidR="006A00A4" w:rsidRPr="00440B55" w:rsidRDefault="006A00A4" w:rsidP="006A00A4">
            <w:pPr>
              <w:pStyle w:val="Tabele"/>
            </w:pPr>
            <w:r w:rsidRPr="00440B55">
              <w:t>40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50</w:t>
            </w:r>
          </w:p>
        </w:tc>
        <w:tc>
          <w:tcPr>
            <w:tcW w:w="1080" w:type="dxa"/>
          </w:tcPr>
          <w:p w:rsidR="006A00A4" w:rsidRPr="00440B55" w:rsidRDefault="006A00A4" w:rsidP="006A00A4">
            <w:pPr>
              <w:pStyle w:val="Tabele"/>
            </w:pPr>
            <w:r w:rsidRPr="00440B55">
              <w:t>(*)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(*)</w:t>
            </w:r>
          </w:p>
        </w:tc>
        <w:tc>
          <w:tcPr>
            <w:tcW w:w="1260" w:type="dxa"/>
          </w:tcPr>
          <w:p w:rsidR="006A00A4" w:rsidRPr="00440B55" w:rsidRDefault="006A00A4" w:rsidP="006A00A4">
            <w:pPr>
              <w:pStyle w:val="Tabele"/>
            </w:pPr>
          </w:p>
        </w:tc>
        <w:tc>
          <w:tcPr>
            <w:tcW w:w="1260" w:type="dxa"/>
          </w:tcPr>
          <w:p w:rsidR="006A00A4" w:rsidRPr="00440B55" w:rsidRDefault="006A00A4" w:rsidP="006A00A4">
            <w:pPr>
              <w:pStyle w:val="Tabele"/>
            </w:pPr>
          </w:p>
        </w:tc>
      </w:tr>
      <w:tr w:rsidR="006A00A4" w:rsidRPr="00440B55">
        <w:trPr>
          <w:jc w:val="center"/>
        </w:trPr>
        <w:tc>
          <w:tcPr>
            <w:tcW w:w="1259" w:type="dxa"/>
          </w:tcPr>
          <w:p w:rsidR="006A00A4" w:rsidRPr="00440B55" w:rsidRDefault="006A00A4" w:rsidP="006A00A4">
            <w:pPr>
              <w:pStyle w:val="Tabele"/>
            </w:pPr>
            <w:r w:rsidRPr="00440B55">
              <w:t>D2</w:t>
            </w:r>
          </w:p>
        </w:tc>
        <w:tc>
          <w:tcPr>
            <w:tcW w:w="1547" w:type="dxa"/>
          </w:tcPr>
          <w:p w:rsidR="006A00A4" w:rsidRPr="00440B55" w:rsidRDefault="006A00A4" w:rsidP="006A00A4">
            <w:pPr>
              <w:pStyle w:val="Tabele"/>
            </w:pPr>
            <w:r w:rsidRPr="00440B55">
              <w:t>Vertikale</w:t>
            </w:r>
          </w:p>
        </w:tc>
        <w:tc>
          <w:tcPr>
            <w:tcW w:w="1298" w:type="dxa"/>
          </w:tcPr>
          <w:p w:rsidR="006A00A4" w:rsidRPr="00440B55" w:rsidRDefault="006A00A4" w:rsidP="006A00A4">
            <w:pPr>
              <w:pStyle w:val="Tabele"/>
            </w:pPr>
            <w:r w:rsidRPr="00440B55">
              <w:t>70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100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150</w:t>
            </w:r>
          </w:p>
        </w:tc>
        <w:tc>
          <w:tcPr>
            <w:tcW w:w="1080" w:type="dxa"/>
          </w:tcPr>
          <w:p w:rsidR="006A00A4" w:rsidRPr="00440B55" w:rsidRDefault="006A00A4" w:rsidP="006A00A4">
            <w:pPr>
              <w:pStyle w:val="Tabele"/>
            </w:pPr>
          </w:p>
        </w:tc>
        <w:tc>
          <w:tcPr>
            <w:tcW w:w="1260" w:type="dxa"/>
          </w:tcPr>
          <w:p w:rsidR="006A00A4" w:rsidRPr="00440B55" w:rsidRDefault="006A00A4" w:rsidP="006A00A4">
            <w:pPr>
              <w:pStyle w:val="Tabele"/>
            </w:pPr>
            <w:r w:rsidRPr="00440B55">
              <w:t>2m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2m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2m</w:t>
            </w:r>
          </w:p>
        </w:tc>
        <w:tc>
          <w:tcPr>
            <w:tcW w:w="1260" w:type="dxa"/>
          </w:tcPr>
          <w:p w:rsidR="006A00A4" w:rsidRPr="00440B55" w:rsidRDefault="006A00A4" w:rsidP="006A00A4">
            <w:pPr>
              <w:pStyle w:val="Tabele"/>
            </w:pPr>
          </w:p>
        </w:tc>
      </w:tr>
      <w:tr w:rsidR="006A00A4" w:rsidRPr="00440B55">
        <w:trPr>
          <w:jc w:val="center"/>
        </w:trPr>
        <w:tc>
          <w:tcPr>
            <w:tcW w:w="1259" w:type="dxa"/>
          </w:tcPr>
          <w:p w:rsidR="006A00A4" w:rsidRPr="00440B55" w:rsidRDefault="006A00A4" w:rsidP="006A00A4">
            <w:pPr>
              <w:pStyle w:val="Tabele"/>
            </w:pPr>
            <w:r w:rsidRPr="00440B55">
              <w:t>D3</w:t>
            </w:r>
          </w:p>
        </w:tc>
        <w:tc>
          <w:tcPr>
            <w:tcW w:w="1547" w:type="dxa"/>
          </w:tcPr>
          <w:p w:rsidR="006A00A4" w:rsidRPr="00440B55" w:rsidRDefault="006A00A4" w:rsidP="006A00A4">
            <w:pPr>
              <w:pStyle w:val="Tabele"/>
            </w:pPr>
            <w:r w:rsidRPr="00440B55">
              <w:t>Horizontale</w:t>
            </w:r>
          </w:p>
        </w:tc>
        <w:tc>
          <w:tcPr>
            <w:tcW w:w="1298" w:type="dxa"/>
          </w:tcPr>
          <w:p w:rsidR="006A00A4" w:rsidRPr="00440B55" w:rsidRDefault="006A00A4" w:rsidP="006A00A4">
            <w:pPr>
              <w:pStyle w:val="Tabele"/>
            </w:pPr>
            <w:r w:rsidRPr="00440B55">
              <w:t>70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100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150</w:t>
            </w:r>
          </w:p>
        </w:tc>
        <w:tc>
          <w:tcPr>
            <w:tcW w:w="1080" w:type="dxa"/>
          </w:tcPr>
          <w:p w:rsidR="006A00A4" w:rsidRPr="00440B55" w:rsidRDefault="006A00A4" w:rsidP="006A00A4">
            <w:pPr>
              <w:pStyle w:val="Tabele"/>
            </w:pPr>
          </w:p>
        </w:tc>
        <w:tc>
          <w:tcPr>
            <w:tcW w:w="1260" w:type="dxa"/>
          </w:tcPr>
          <w:p w:rsidR="006A00A4" w:rsidRPr="00440B55" w:rsidRDefault="006A00A4" w:rsidP="006A00A4">
            <w:pPr>
              <w:pStyle w:val="Tabele"/>
            </w:pPr>
          </w:p>
        </w:tc>
        <w:tc>
          <w:tcPr>
            <w:tcW w:w="1260" w:type="dxa"/>
          </w:tcPr>
          <w:p w:rsidR="006A00A4" w:rsidRPr="00440B55" w:rsidRDefault="006A00A4" w:rsidP="006A00A4">
            <w:pPr>
              <w:pStyle w:val="Tabele"/>
            </w:pPr>
            <w:r w:rsidRPr="00440B55">
              <w:t>(</w:t>
            </w:r>
            <w:r>
              <w:rPr>
                <w:rStyle w:val="FootnoteReference"/>
              </w:rPr>
              <w:footnoteReference w:id="4"/>
            </w:r>
            <w:r w:rsidRPr="00440B55">
              <w:t>)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(</w:t>
            </w:r>
            <w:r w:rsidRPr="0027177A">
              <w:rPr>
                <w:vertAlign w:val="superscript"/>
              </w:rPr>
              <w:t>*</w:t>
            </w:r>
            <w:r w:rsidRPr="00440B55">
              <w:t>)</w:t>
            </w:r>
          </w:p>
          <w:p w:rsidR="006A00A4" w:rsidRPr="00440B55" w:rsidRDefault="006A00A4" w:rsidP="006A00A4">
            <w:pPr>
              <w:pStyle w:val="Tabele"/>
            </w:pPr>
            <w:r w:rsidRPr="00440B55">
              <w:t>(</w:t>
            </w:r>
            <w:r w:rsidRPr="0027177A">
              <w:rPr>
                <w:vertAlign w:val="superscript"/>
              </w:rPr>
              <w:t>*</w:t>
            </w:r>
            <w:r w:rsidRPr="00440B55">
              <w:t>)</w:t>
            </w:r>
          </w:p>
        </w:tc>
      </w:tr>
    </w:tbl>
    <w:p w:rsidR="006A00A4" w:rsidRDefault="006A00A4" w:rsidP="006A00A4">
      <w:pPr>
        <w:pStyle w:val="Paragrafi"/>
      </w:pPr>
    </w:p>
    <w:p w:rsidR="006A00A4" w:rsidRDefault="006A00A4" w:rsidP="006A00A4">
      <w:pPr>
        <w:pStyle w:val="Paragrafi"/>
      </w:pPr>
    </w:p>
    <w:p w:rsidR="006A00A4" w:rsidRDefault="006A00A4" w:rsidP="006A00A4">
      <w:pPr>
        <w:pStyle w:val="Paragrafi"/>
        <w:rPr>
          <w:lang w:val="it-IT"/>
        </w:rPr>
      </w:pPr>
      <w:r w:rsidRPr="009129D8">
        <w:t>Rezultatet e provave me metodën A dhe B do të konsiderohen të kënaqshme nëse nuk rezulton asnjë humbje gjatë provës për aftësi mbajtëse, përpara dhe prapa goditjeve termike. Pas montimit, asnjë</w:t>
      </w:r>
      <w:r w:rsidRPr="00440B55">
        <w:rPr>
          <w:lang w:val="it-IT"/>
        </w:rPr>
        <w:t xml:space="preserve"> element nuk duhet të paraqesë ndryshime dimensionesh ose dëmtime të tjera që mund të dëmtojnë funksionimin dhe jetëgjatësinë; për bashkuesit e tipit zgjatues (teleskopike) me bashkuese unazore, kokat bashkuese nuk duhet </w:t>
      </w:r>
      <w:r>
        <w:rPr>
          <w:lang w:val="it-IT"/>
        </w:rPr>
        <w:t>të paraqesin pas zmontimit asnjë</w:t>
      </w:r>
      <w:r w:rsidRPr="00440B55">
        <w:rPr>
          <w:lang w:val="it-IT"/>
        </w:rPr>
        <w:t xml:space="preserve"> shenjë të lënë nga unaza.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3.1.5 Rezistenca kimike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Si rregull, në përgjithësi ujërat e përdorimit shtëpiak nuk përmbajnë substanca agresive. Më poshtë po paraqesim</w:t>
      </w:r>
      <w:r>
        <w:rPr>
          <w:lang w:val="it-IT"/>
        </w:rPr>
        <w:t xml:space="preserve"> një analizë tipike të</w:t>
      </w:r>
      <w:r w:rsidRPr="00440B55">
        <w:rPr>
          <w:lang w:val="it-IT"/>
        </w:rPr>
        <w:t xml:space="preserve"> ujit të pë</w:t>
      </w:r>
      <w:r>
        <w:rPr>
          <w:lang w:val="it-IT"/>
        </w:rPr>
        <w:t>rdorimit shtëpiak.</w:t>
      </w:r>
    </w:p>
    <w:p w:rsidR="006A00A4" w:rsidRPr="00440B55" w:rsidRDefault="006A00A4" w:rsidP="006A00A4">
      <w:pPr>
        <w:pStyle w:val="Paragrafi"/>
        <w:rPr>
          <w:lang w:val="it-IT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68"/>
        <w:gridCol w:w="1980"/>
      </w:tblGrid>
      <w:tr w:rsidR="006A00A4" w:rsidRPr="00440B55">
        <w:trPr>
          <w:jc w:val="center"/>
        </w:trPr>
        <w:tc>
          <w:tcPr>
            <w:tcW w:w="4068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40B55">
              <w:rPr>
                <w:lang w:val="it-IT"/>
              </w:rPr>
              <w:t>Përbërësit</w:t>
            </w:r>
          </w:p>
        </w:tc>
        <w:tc>
          <w:tcPr>
            <w:tcW w:w="1980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40B55">
              <w:rPr>
                <w:lang w:val="it-IT"/>
              </w:rPr>
              <w:t>Mg/l</w:t>
            </w:r>
          </w:p>
        </w:tc>
      </w:tr>
      <w:tr w:rsidR="006A00A4" w:rsidRPr="00440B55">
        <w:trPr>
          <w:jc w:val="center"/>
        </w:trPr>
        <w:tc>
          <w:tcPr>
            <w:tcW w:w="4068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</w:p>
        </w:tc>
        <w:tc>
          <w:tcPr>
            <w:tcW w:w="1980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</w:p>
        </w:tc>
      </w:tr>
      <w:tr w:rsidR="006A00A4" w:rsidRPr="00440B55">
        <w:trPr>
          <w:jc w:val="center"/>
        </w:trPr>
        <w:tc>
          <w:tcPr>
            <w:tcW w:w="4068" w:type="dxa"/>
          </w:tcPr>
          <w:p w:rsidR="006A00A4" w:rsidRPr="00440B55" w:rsidRDefault="006A00A4" w:rsidP="006A00A4">
            <w:pPr>
              <w:pStyle w:val="Paragrafi"/>
              <w:ind w:firstLine="0"/>
              <w:rPr>
                <w:lang w:val="it-IT"/>
              </w:rPr>
            </w:pPr>
            <w:r w:rsidRPr="00440B55">
              <w:rPr>
                <w:lang w:val="it-IT"/>
              </w:rPr>
              <w:t>Polisaharide (amide, celulozë, etj</w:t>
            </w:r>
            <w:r>
              <w:rPr>
                <w:lang w:val="it-IT"/>
              </w:rPr>
              <w:t>.</w:t>
            </w:r>
            <w:r w:rsidRPr="00440B55">
              <w:rPr>
                <w:lang w:val="it-IT"/>
              </w:rPr>
              <w:t>)</w:t>
            </w:r>
          </w:p>
        </w:tc>
        <w:tc>
          <w:tcPr>
            <w:tcW w:w="1980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40B55">
              <w:rPr>
                <w:lang w:val="it-IT"/>
              </w:rPr>
              <w:t>50</w:t>
            </w:r>
          </w:p>
        </w:tc>
      </w:tr>
      <w:tr w:rsidR="006A00A4" w:rsidRPr="00440B55">
        <w:trPr>
          <w:jc w:val="center"/>
        </w:trPr>
        <w:tc>
          <w:tcPr>
            <w:tcW w:w="4068" w:type="dxa"/>
          </w:tcPr>
          <w:p w:rsidR="006A00A4" w:rsidRPr="00440B55" w:rsidRDefault="006A00A4" w:rsidP="006A00A4">
            <w:pPr>
              <w:pStyle w:val="Paragrafi"/>
              <w:ind w:firstLine="0"/>
              <w:rPr>
                <w:lang w:val="it-IT"/>
              </w:rPr>
            </w:pPr>
            <w:r w:rsidRPr="00440B55">
              <w:rPr>
                <w:lang w:val="it-IT"/>
              </w:rPr>
              <w:t>Stearate natriumi</w:t>
            </w:r>
          </w:p>
        </w:tc>
        <w:tc>
          <w:tcPr>
            <w:tcW w:w="1980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40B55">
              <w:rPr>
                <w:lang w:val="it-IT"/>
              </w:rPr>
              <w:t>32</w:t>
            </w:r>
          </w:p>
        </w:tc>
      </w:tr>
      <w:tr w:rsidR="006A00A4" w:rsidRPr="00440B55">
        <w:trPr>
          <w:jc w:val="center"/>
        </w:trPr>
        <w:tc>
          <w:tcPr>
            <w:tcW w:w="4068" w:type="dxa"/>
          </w:tcPr>
          <w:p w:rsidR="006A00A4" w:rsidRPr="00440B55" w:rsidRDefault="006A00A4" w:rsidP="006A00A4">
            <w:pPr>
              <w:pStyle w:val="Paragrafi"/>
              <w:ind w:firstLine="0"/>
              <w:rPr>
                <w:lang w:val="it-IT"/>
              </w:rPr>
            </w:pPr>
            <w:r w:rsidRPr="00440B55">
              <w:rPr>
                <w:lang w:val="it-IT"/>
              </w:rPr>
              <w:t>Acetat natriumi</w:t>
            </w:r>
          </w:p>
        </w:tc>
        <w:tc>
          <w:tcPr>
            <w:tcW w:w="1980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  <w:r>
              <w:rPr>
                <w:lang w:val="it-IT"/>
              </w:rPr>
              <w:t>5</w:t>
            </w:r>
            <w:r w:rsidRPr="00440B55">
              <w:rPr>
                <w:lang w:val="it-IT"/>
              </w:rPr>
              <w:t>6</w:t>
            </w:r>
          </w:p>
        </w:tc>
      </w:tr>
      <w:tr w:rsidR="006A00A4" w:rsidRPr="00440B55">
        <w:trPr>
          <w:jc w:val="center"/>
        </w:trPr>
        <w:tc>
          <w:tcPr>
            <w:tcW w:w="4068" w:type="dxa"/>
          </w:tcPr>
          <w:p w:rsidR="006A00A4" w:rsidRPr="00440B55" w:rsidRDefault="006A00A4" w:rsidP="006A00A4">
            <w:pPr>
              <w:pStyle w:val="Paragrafi"/>
              <w:ind w:firstLine="0"/>
              <w:rPr>
                <w:lang w:val="it-IT"/>
              </w:rPr>
            </w:pPr>
            <w:r w:rsidRPr="00440B55">
              <w:rPr>
                <w:lang w:val="it-IT"/>
              </w:rPr>
              <w:t>Tri – stearat i glicerinës</w:t>
            </w:r>
          </w:p>
        </w:tc>
        <w:tc>
          <w:tcPr>
            <w:tcW w:w="1980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40B55">
              <w:rPr>
                <w:lang w:val="it-IT"/>
              </w:rPr>
              <w:t>15</w:t>
            </w:r>
          </w:p>
        </w:tc>
      </w:tr>
      <w:tr w:rsidR="006A00A4" w:rsidRPr="00440B55">
        <w:trPr>
          <w:jc w:val="center"/>
        </w:trPr>
        <w:tc>
          <w:tcPr>
            <w:tcW w:w="4068" w:type="dxa"/>
          </w:tcPr>
          <w:p w:rsidR="006A00A4" w:rsidRPr="00440B55" w:rsidRDefault="006A00A4" w:rsidP="006A00A4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Ure</w:t>
            </w:r>
          </w:p>
        </w:tc>
        <w:tc>
          <w:tcPr>
            <w:tcW w:w="1980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40B55">
              <w:rPr>
                <w:lang w:val="it-IT"/>
              </w:rPr>
              <w:t>13</w:t>
            </w:r>
          </w:p>
        </w:tc>
      </w:tr>
      <w:tr w:rsidR="006A00A4" w:rsidRPr="00440B55">
        <w:trPr>
          <w:jc w:val="center"/>
        </w:trPr>
        <w:tc>
          <w:tcPr>
            <w:tcW w:w="4068" w:type="dxa"/>
          </w:tcPr>
          <w:p w:rsidR="006A00A4" w:rsidRPr="00440B55" w:rsidRDefault="006A00A4" w:rsidP="006A00A4">
            <w:pPr>
              <w:pStyle w:val="Paragrafi"/>
              <w:ind w:firstLine="0"/>
              <w:rPr>
                <w:lang w:val="it-IT"/>
              </w:rPr>
            </w:pPr>
            <w:r>
              <w:rPr>
                <w:lang w:val="it-IT"/>
              </w:rPr>
              <w:t>Sulfat amoni</w:t>
            </w:r>
            <w:r w:rsidRPr="00440B55">
              <w:rPr>
                <w:lang w:val="it-IT"/>
              </w:rPr>
              <w:t>akal</w:t>
            </w:r>
          </w:p>
        </w:tc>
        <w:tc>
          <w:tcPr>
            <w:tcW w:w="1980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40B55">
              <w:rPr>
                <w:lang w:val="it-IT"/>
              </w:rPr>
              <w:t>70</w:t>
            </w:r>
          </w:p>
        </w:tc>
      </w:tr>
      <w:tr w:rsidR="006A00A4" w:rsidRPr="00440B55">
        <w:trPr>
          <w:jc w:val="center"/>
        </w:trPr>
        <w:tc>
          <w:tcPr>
            <w:tcW w:w="4068" w:type="dxa"/>
          </w:tcPr>
          <w:p w:rsidR="006A00A4" w:rsidRPr="00440B55" w:rsidRDefault="006A00A4" w:rsidP="006A00A4">
            <w:pPr>
              <w:pStyle w:val="Paragrafi"/>
              <w:ind w:firstLine="0"/>
              <w:rPr>
                <w:lang w:val="it-IT"/>
              </w:rPr>
            </w:pPr>
            <w:r w:rsidRPr="00440B55">
              <w:rPr>
                <w:lang w:val="it-IT"/>
              </w:rPr>
              <w:t>Proteina</w:t>
            </w:r>
          </w:p>
        </w:tc>
        <w:tc>
          <w:tcPr>
            <w:tcW w:w="1980" w:type="dxa"/>
          </w:tcPr>
          <w:p w:rsidR="006A00A4" w:rsidRPr="00440B55" w:rsidRDefault="006A00A4" w:rsidP="006A00A4">
            <w:pPr>
              <w:pStyle w:val="Paragrafi"/>
              <w:ind w:firstLine="0"/>
              <w:jc w:val="center"/>
              <w:rPr>
                <w:lang w:val="it-IT"/>
              </w:rPr>
            </w:pPr>
            <w:r w:rsidRPr="00440B55">
              <w:rPr>
                <w:lang w:val="it-IT"/>
              </w:rPr>
              <w:t>90</w:t>
            </w:r>
          </w:p>
        </w:tc>
      </w:tr>
    </w:tbl>
    <w:p w:rsidR="006A00A4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Kërkohet që tubacionet e përbë</w:t>
      </w:r>
      <w:r>
        <w:rPr>
          <w:lang w:val="it-IT"/>
        </w:rPr>
        <w:t>ra</w:t>
      </w:r>
      <w:r w:rsidRPr="00440B55">
        <w:rPr>
          <w:lang w:val="it-IT"/>
        </w:rPr>
        <w:t xml:space="preserve"> nga materiale të treguara sipas klasifikimit në 1.3, të jenë rezistente ndaj substancave të sipërpërmendura.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Përsa i përket tubave dhe rakordeve të përbëra</w:t>
      </w:r>
      <w:r>
        <w:rPr>
          <w:lang w:val="it-IT"/>
        </w:rPr>
        <w:t xml:space="preserve"> nga mater</w:t>
      </w:r>
      <w:r w:rsidRPr="00440B55">
        <w:rPr>
          <w:lang w:val="it-IT"/>
        </w:rPr>
        <w:t>iale të tjera, ato duhet të vihen në dalje në kontakt me ujëra me përmbajtje të njëjtë si më sipër.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3.2</w:t>
      </w:r>
      <w:r w:rsidRPr="00440B55">
        <w:rPr>
          <w:lang w:val="it-IT"/>
        </w:rPr>
        <w:t xml:space="preserve"> Prova specifike që lidhen me materialet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Prova të tjera për të përcaktuar llojin e materialit jepen në rregullore dhe udhë</w:t>
      </w:r>
      <w:r>
        <w:rPr>
          <w:lang w:val="it-IT"/>
        </w:rPr>
        <w:t>zime (direktiva</w:t>
      </w:r>
      <w:r w:rsidRPr="00440B55">
        <w:rPr>
          <w:lang w:val="it-IT"/>
        </w:rPr>
        <w:t>) të veçanta.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KONTROLLI I CILËSISË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3.3 Të përgjithshme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Me kontroll të cilësisë kuptohet si autokontrolli i prodhuesit, ashtu edhe mbikë</w:t>
      </w:r>
      <w:r>
        <w:rPr>
          <w:lang w:val="it-IT"/>
        </w:rPr>
        <w:t>qyrja nga një i</w:t>
      </w:r>
      <w:r w:rsidRPr="00440B55">
        <w:rPr>
          <w:lang w:val="it-IT"/>
        </w:rPr>
        <w:t>nstitucion i pavarur për të verifikuar përputhshmërinë me rregullat e treguara në pjesën e dytë të këtij udhëzimi. Prodhuesi duhet të ketë pajisjet e nevojshme për kontrollin e lëndës së parë që përdoret për prodhim, si dhe duhet të ndjekë kolaudimin e prodhimeve që shpërndahen.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3.4</w:t>
      </w:r>
      <w:r w:rsidRPr="00440B55">
        <w:rPr>
          <w:lang w:val="it-IT"/>
        </w:rPr>
        <w:t xml:space="preserve"> Autokontrolli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Prodhuesi duhet të kontrollojë në çdo njësi prodhimi cilësinë e elementeve të sistemit të tij të shkarkimit. Për këtë duhet që vazhdimish</w:t>
      </w:r>
      <w:r>
        <w:rPr>
          <w:lang w:val="it-IT"/>
        </w:rPr>
        <w:t>t të</w:t>
      </w:r>
      <w:r w:rsidRPr="00440B55">
        <w:rPr>
          <w:lang w:val="it-IT"/>
        </w:rPr>
        <w:t xml:space="preserve"> kryejë provat e treguara në 3.1.2 dhe 3.1.3</w:t>
      </w:r>
      <w:r>
        <w:rPr>
          <w:lang w:val="it-IT"/>
        </w:rPr>
        <w:t>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Përsa i përket frekuencës së provave të treguara në 3.2</w:t>
      </w:r>
      <w:r>
        <w:rPr>
          <w:lang w:val="it-IT"/>
        </w:rPr>
        <w:t>,</w:t>
      </w:r>
      <w:r w:rsidRPr="00440B55">
        <w:rPr>
          <w:lang w:val="it-IT"/>
        </w:rPr>
        <w:t xml:space="preserve"> duhet t’u referohemi udhëzimeve (direktivave) të veçanta.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Nëse rezultatet e provave nuk janë të kënaqshme, prodhuesi duhet të marrë masat e nevojshm</w:t>
      </w:r>
      <w:r>
        <w:rPr>
          <w:lang w:val="it-IT"/>
        </w:rPr>
        <w:t>e menjëherë</w:t>
      </w:r>
      <w:r w:rsidRPr="00440B55">
        <w:rPr>
          <w:lang w:val="it-IT"/>
        </w:rPr>
        <w:t xml:space="preserve"> për mënjanimin e difekteve të konstatuara; dhe nëse është e nevojshme duhet të lajmërojë menjëherë blerësin ose përdoruesin e sasisë së materialit difektoz, për të evituar dëmet që mund të sjellin materialet jocilësore.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Pas eliminimit të difekteve është mirë, nëse është e nevojshme, të përsëriten provat e kontrollit.</w:t>
      </w:r>
    </w:p>
    <w:p w:rsidR="006A00A4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Prodhimet që nuk i përgjigjen rregullave</w:t>
      </w:r>
      <w:r>
        <w:rPr>
          <w:lang w:val="it-IT"/>
        </w:rPr>
        <w:t xml:space="preserve"> të cilësisë së sipërpërme</w:t>
      </w:r>
      <w:r w:rsidRPr="00440B55">
        <w:rPr>
          <w:lang w:val="it-IT"/>
        </w:rPr>
        <w:t>ndur duhen eli</w:t>
      </w:r>
      <w:r>
        <w:rPr>
          <w:lang w:val="it-IT"/>
        </w:rPr>
        <w:t>minuar. Ë</w:t>
      </w:r>
      <w:r w:rsidRPr="00440B55">
        <w:rPr>
          <w:lang w:val="it-IT"/>
        </w:rPr>
        <w:t>shtë e nevojshme të regjistrohen rezultatet e provave dhe nëse është e mundur ato duhet të interpretohen në mënyrë statistikore. Rezultatet e provave duhet të regjistrohen dhe të ruhen të paktën për 5 vjet dhe duhet t’i paraqiten institutit të specializuar sipas kërkesës së këtij të fundit (shiko 3.5).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3.5 Kontrolli i ushtruar nga një institucion i pavarur</w:t>
      </w:r>
    </w:p>
    <w:p w:rsidR="006A00A4" w:rsidRDefault="006A00A4" w:rsidP="006A00A4">
      <w:pPr>
        <w:pStyle w:val="Paragrafi"/>
        <w:rPr>
          <w:lang w:val="it-IT"/>
        </w:rPr>
      </w:pPr>
      <w:r>
        <w:rPr>
          <w:lang w:val="it-IT"/>
        </w:rPr>
        <w:t>3.5.1</w:t>
      </w:r>
      <w:r w:rsidRPr="00440B55">
        <w:rPr>
          <w:lang w:val="it-IT"/>
        </w:rPr>
        <w:t xml:space="preserve"> Mënyra, frekuenca dhe shtrirja në kohë</w:t>
      </w:r>
    </w:p>
    <w:p w:rsidR="006A00A4" w:rsidRDefault="006A00A4" w:rsidP="006A00A4">
      <w:pPr>
        <w:pStyle w:val="Paragrafi"/>
        <w:rPr>
          <w:lang w:val="it-IT"/>
        </w:rPr>
      </w:pPr>
    </w:p>
    <w:p w:rsidR="006A00A4" w:rsidRDefault="006A00A4" w:rsidP="006A00A4">
      <w:pPr>
        <w:pStyle w:val="Paragrafi"/>
        <w:rPr>
          <w:lang w:val="it-IT"/>
        </w:rPr>
      </w:pPr>
    </w:p>
    <w:p w:rsidR="006A00A4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Në kuadër të mbikëqyrjes, si rregull i përgjithshëm</w:t>
      </w:r>
      <w:r>
        <w:rPr>
          <w:lang w:val="it-IT"/>
        </w:rPr>
        <w:t>,</w:t>
      </w:r>
      <w:r w:rsidRPr="00440B55">
        <w:rPr>
          <w:lang w:val="it-IT"/>
        </w:rPr>
        <w:t xml:space="preserve"> duhet verifikuar autokontrolli dhe kushtet relat</w:t>
      </w:r>
      <w:r>
        <w:rPr>
          <w:lang w:val="it-IT"/>
        </w:rPr>
        <w:t>ive të impiantit dhe personelit</w:t>
      </w:r>
      <w:r w:rsidRPr="00440B55">
        <w:rPr>
          <w:lang w:val="it-IT"/>
        </w:rPr>
        <w:t xml:space="preserve"> nga një organizëm i posaçëm i mbikëqyrjes ose i kontrollit të cilësisë, të paktën dy herë në vit ose mbi bazë të një kontrate mbikëqyr</w:t>
      </w:r>
      <w:r>
        <w:rPr>
          <w:lang w:val="it-IT"/>
        </w:rPr>
        <w:t>jeje nga ana e një laboratori të</w:t>
      </w:r>
      <w:r w:rsidRPr="00440B55">
        <w:rPr>
          <w:lang w:val="it-IT"/>
        </w:rPr>
        <w:t xml:space="preserve"> autorizuar e akredituar. Kontrolli i cilësisë duhet të kryet minimumi dy herë në vit.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Përveç provave të parashikuara (shiko 3.2) d</w:t>
      </w:r>
      <w:r>
        <w:rPr>
          <w:lang w:val="it-IT"/>
        </w:rPr>
        <w:t>uhet të</w:t>
      </w:r>
      <w:r w:rsidRPr="00440B55">
        <w:rPr>
          <w:lang w:val="it-IT"/>
        </w:rPr>
        <w:t xml:space="preserve"> realizohen edhe prova të treguara në 3</w:t>
      </w:r>
      <w:r>
        <w:rPr>
          <w:lang w:val="it-IT"/>
        </w:rPr>
        <w:t>.1.1.3</w:t>
      </w:r>
      <w:r w:rsidRPr="00440B55">
        <w:rPr>
          <w:lang w:val="it-IT"/>
        </w:rPr>
        <w:t xml:space="preserve"> dhe 3.1.1.4 dhe ndoshta edhe të tjera.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Prodhuesi duhet t’i dërgojë me shkrim institutit të ngarkuar për kontrollin informacionet e mëposhtme: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a) datën e vënies në punë të impiantit të prodhimit;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b) emrin e personit përgjegjës për cilësinë (edhe kur ndryshohet);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c) prodhimin e parashikuar;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d) zbatimin e autokontrollit;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e) ndë</w:t>
      </w:r>
      <w:r w:rsidRPr="00440B55">
        <w:rPr>
          <w:lang w:val="it-IT"/>
        </w:rPr>
        <w:t>rprerjen e p</w:t>
      </w:r>
      <w:r>
        <w:rPr>
          <w:lang w:val="it-IT"/>
        </w:rPr>
        <w:t>rodhimit dhe produkteve të tjera</w:t>
      </w:r>
      <w:r w:rsidRPr="00440B55">
        <w:rPr>
          <w:lang w:val="it-IT"/>
        </w:rPr>
        <w:t>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Pasi specifikimi teknik relativ i prodhimit nxirret përpara fillimit të kontrollit të cilësisë</w:t>
      </w:r>
      <w:r>
        <w:rPr>
          <w:lang w:val="it-IT"/>
        </w:rPr>
        <w:t>, i</w:t>
      </w:r>
      <w:r w:rsidRPr="00440B55">
        <w:rPr>
          <w:lang w:val="it-IT"/>
        </w:rPr>
        <w:t xml:space="preserve">nstituti i ngarkuar për cilësinë duhet të sigurojë që kushtet e impiantit </w:t>
      </w:r>
      <w:r>
        <w:rPr>
          <w:lang w:val="it-IT"/>
        </w:rPr>
        <w:t>dhe të personelit</w:t>
      </w:r>
      <w:r w:rsidRPr="00440B55">
        <w:rPr>
          <w:lang w:val="it-IT"/>
        </w:rPr>
        <w:t xml:space="preserve"> të garantojnë vazhdueshmërinë e rregullt të prodhimit.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Në rastin e reklamimeve ose të rezultateve të pamjaftueshme të provave, është e nevojshme të përsëriten menjëherë provat. Difektet e konstatuara gjatë autokontrollit të cilat janë riparuar menjëherë, mund të konsiderohen të paqena.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3.5.2 Marrja e kampioneve të provave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Përfaqësuesi i i</w:t>
      </w:r>
      <w:r w:rsidRPr="00440B55">
        <w:rPr>
          <w:lang w:val="it-IT"/>
        </w:rPr>
        <w:t>nst</w:t>
      </w:r>
      <w:r>
        <w:rPr>
          <w:lang w:val="it-IT"/>
        </w:rPr>
        <w:t>itucionit të kontrollit duhet të</w:t>
      </w:r>
      <w:r w:rsidRPr="00440B55">
        <w:rPr>
          <w:lang w:val="it-IT"/>
        </w:rPr>
        <w:t xml:space="preserve"> zgjedhë kampionet nga një stok mundësisht i shënuar</w:t>
      </w:r>
      <w:r>
        <w:rPr>
          <w:lang w:val="it-IT"/>
        </w:rPr>
        <w:t xml:space="preserve"> ose i konsideruar i gatshë</w:t>
      </w:r>
      <w:r w:rsidRPr="00440B55">
        <w:rPr>
          <w:lang w:val="it-IT"/>
        </w:rPr>
        <w:t>m për tregtim nga prodhuesi, kampioni duhet t’</w:t>
      </w:r>
      <w:r>
        <w:rPr>
          <w:lang w:val="it-IT"/>
        </w:rPr>
        <w:t>i korre</w:t>
      </w:r>
      <w:r w:rsidRPr="00440B55">
        <w:rPr>
          <w:lang w:val="it-IT"/>
        </w:rPr>
        <w:t xml:space="preserve">spondojë prodhimit në proces. Ato mund të merren edhe nga stoku i ndonjë shitësi dhe në raste të veçanta mund të merren edhe në kantier. Nuk duhen përjashtuar nga zgjedhja dhe prodhimet e përcaktuara si difektoze nga prodhuesi, nëse ato nuk janë të identifikuara qartësisht dhe të depozituara veçmas </w:t>
      </w:r>
      <w:r>
        <w:rPr>
          <w:lang w:val="it-IT"/>
        </w:rPr>
        <w:t>(shiko 2.2.2</w:t>
      </w:r>
      <w:r w:rsidRPr="00440B55">
        <w:rPr>
          <w:lang w:val="it-IT"/>
        </w:rPr>
        <w:t xml:space="preserve">). Për të evituar gabimet, duhet bërë menjëherë markimi i kampioneve. Personi që merr kampionet duhet të përpilojë një procesverbal, ta firmosë, si dhe të marrë kundërfirmat e personit përgjegjës të ndërmarrjes ose të perfaqësuesit të saj. </w:t>
      </w:r>
      <w:r w:rsidRPr="00440B55">
        <w:t>Procesverbali duhet të përmbajë indikacionet e mëposhtme:</w:t>
      </w:r>
    </w:p>
    <w:p w:rsidR="006A00A4" w:rsidRPr="00440B55" w:rsidRDefault="006A00A4" w:rsidP="006A00A4">
      <w:pPr>
        <w:pStyle w:val="Paragrafi"/>
      </w:pPr>
      <w:r w:rsidRPr="00440B55">
        <w:t>a) prodhuesin dhe fabrikën prodhuese;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b) vendin e marrjes së kampionit;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c) emërtimin e prodhimit;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d) markimin e kampioneve;</w:t>
      </w:r>
    </w:p>
    <w:p w:rsidR="006A00A4" w:rsidRPr="00440B55" w:rsidRDefault="006A00A4" w:rsidP="006A00A4">
      <w:pPr>
        <w:pStyle w:val="Paragrafi"/>
        <w:rPr>
          <w:lang w:val="it-IT"/>
        </w:rPr>
      </w:pPr>
      <w:r>
        <w:rPr>
          <w:lang w:val="it-IT"/>
        </w:rPr>
        <w:t>e) ve</w:t>
      </w:r>
      <w:r w:rsidRPr="00440B55">
        <w:rPr>
          <w:lang w:val="it-IT"/>
        </w:rPr>
        <w:t>ndin dhe datën;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f) formën.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3.5.3 Raporti i kontrollit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Rezultatet e kontrollit duhen shkruar në një raport kontrolli. Raporti i kontrollit i dërguar sipas këtij udhëzimi duhet të përmbajë treguesit e mëposhtëm: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a) Prodhuesin dhe fabrikën prodhuese;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b) Emërtimin e prodhimit</w:t>
      </w:r>
      <w:r>
        <w:rPr>
          <w:lang w:val="it-IT"/>
        </w:rPr>
        <w:t>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c) Vlerësimin e vetëkontrollit, rezultatin dhe shtrirjen në kohë;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d) Rezultatet e verifikuara të kryera nga instituti i kontrollit dhe krahasimi me rregullat e cilësisë që duhen plotësuar;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e) Vlerësimin e përgjithshëm;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f) Vendin dhe datën;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g) Emërtimin dhe nënshkrimin e institutit të kontrollit.</w:t>
      </w:r>
    </w:p>
    <w:p w:rsidR="006A00A4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Raporti i kontrollit të kryer duhet ruajtur nga prodhuesi dhe institucioni i kontrollit për një kohë së paku 5-vjeçare.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3.5.4 Marketimi</w:t>
      </w:r>
    </w:p>
    <w:p w:rsidR="006A00A4" w:rsidRPr="00440B55" w:rsidRDefault="006A00A4" w:rsidP="006A00A4">
      <w:pPr>
        <w:pStyle w:val="Paragrafi"/>
        <w:rPr>
          <w:lang w:val="it-IT"/>
        </w:rPr>
      </w:pPr>
      <w:r w:rsidRPr="00440B55">
        <w:rPr>
          <w:lang w:val="it-IT"/>
        </w:rPr>
        <w:t>Marketimi dhe ngjyra duhet të jenë në përputhje me standardet ndërkombët</w:t>
      </w:r>
      <w:r>
        <w:rPr>
          <w:lang w:val="it-IT"/>
        </w:rPr>
        <w:t>are ose rekomandimet dhe rregull</w:t>
      </w:r>
      <w:r w:rsidRPr="00440B55">
        <w:rPr>
          <w:lang w:val="it-IT"/>
        </w:rPr>
        <w:t>at kombëtare. Mbi tubacion duhet të jenë të shënuara karakteristikat e produktit dhe origjina e tij.</w:t>
      </w:r>
    </w:p>
    <w:p w:rsidR="006A00A4" w:rsidRPr="00440B55" w:rsidRDefault="006A00A4" w:rsidP="006A00A4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549AC">
      <w:r>
        <w:separator/>
      </w:r>
    </w:p>
  </w:endnote>
  <w:endnote w:type="continuationSeparator" w:id="0">
    <w:p w:rsidR="00000000" w:rsidRDefault="000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549AC">
      <w:r>
        <w:separator/>
      </w:r>
    </w:p>
  </w:footnote>
  <w:footnote w:type="continuationSeparator" w:id="0">
    <w:p w:rsidR="00000000" w:rsidRDefault="000549AC">
      <w:r>
        <w:continuationSeparator/>
      </w:r>
    </w:p>
  </w:footnote>
  <w:footnote w:id="1">
    <w:p w:rsidR="006A00A4" w:rsidRPr="006D4402" w:rsidRDefault="006A00A4" w:rsidP="006A00A4">
      <w:pPr>
        <w:pStyle w:val="FootnoteText"/>
        <w:rPr>
          <w:lang w:val="it-IT"/>
        </w:rPr>
      </w:pPr>
      <w:r>
        <w:rPr>
          <w:rStyle w:val="FootnoteReference"/>
        </w:rPr>
        <w:t>*</w:t>
      </w:r>
      <w:r w:rsidRPr="00440B55">
        <w:rPr>
          <w:lang w:val="it-IT"/>
        </w:rPr>
        <w:sym w:font="Symbol" w:char="F061"/>
      </w:r>
      <w:r>
        <w:rPr>
          <w:lang w:val="it-IT"/>
        </w:rPr>
        <w:t xml:space="preserve"> min</w:t>
      </w:r>
      <w:r w:rsidRPr="00A855D2">
        <w:rPr>
          <w:lang w:val="it-IT"/>
        </w:rPr>
        <w:t xml:space="preserve"> </w:t>
      </w:r>
      <w:r>
        <w:rPr>
          <w:lang w:val="it-IT"/>
        </w:rPr>
        <w:t xml:space="preserve">= </w:t>
      </w:r>
      <w:r w:rsidRPr="00A855D2">
        <w:rPr>
          <w:lang w:val="it-IT"/>
        </w:rPr>
        <w:t>2.861° (ta</w:t>
      </w:r>
      <w:r>
        <w:rPr>
          <w:lang w:val="it-IT"/>
        </w:rPr>
        <w:t xml:space="preserve">g </w:t>
      </w:r>
      <w:r w:rsidRPr="00440B55">
        <w:rPr>
          <w:lang w:val="it-IT"/>
        </w:rPr>
        <w:sym w:font="Symbol" w:char="F061"/>
      </w:r>
      <w:r>
        <w:rPr>
          <w:lang w:val="it-IT"/>
        </w:rPr>
        <w:t xml:space="preserve"> = 0,05 ) për diametra nominalë &lt; DN 200; </w:t>
      </w:r>
      <w:r w:rsidRPr="00440B55">
        <w:rPr>
          <w:lang w:val="it-IT"/>
        </w:rPr>
        <w:sym w:font="Symbol" w:char="F061"/>
      </w:r>
      <w:r>
        <w:rPr>
          <w:lang w:val="it-IT"/>
        </w:rPr>
        <w:t xml:space="preserve"> min</w:t>
      </w:r>
      <w:r w:rsidRPr="00A855D2">
        <w:rPr>
          <w:lang w:val="it-IT"/>
        </w:rPr>
        <w:t xml:space="preserve"> </w:t>
      </w:r>
      <w:r>
        <w:rPr>
          <w:lang w:val="it-IT"/>
        </w:rPr>
        <w:t>= 1.718° (tag</w:t>
      </w:r>
      <w:r w:rsidRPr="00440B55">
        <w:rPr>
          <w:lang w:val="it-IT"/>
        </w:rPr>
        <w:sym w:font="Symbol" w:char="F061"/>
      </w:r>
      <w:r>
        <w:rPr>
          <w:lang w:val="it-IT"/>
        </w:rPr>
        <w:t xml:space="preserve"> = 0,03) për diametra nominalë &gt; DN 200 deri </w:t>
      </w:r>
      <w:r w:rsidRPr="00A855D2">
        <w:rPr>
          <w:lang w:val="it-IT"/>
        </w:rPr>
        <w:t xml:space="preserve"> </w:t>
      </w:r>
      <w:r>
        <w:rPr>
          <w:lang w:val="it-IT"/>
        </w:rPr>
        <w:t xml:space="preserve">≥ </w:t>
      </w:r>
      <w:r w:rsidRPr="00A855D2">
        <w:rPr>
          <w:lang w:val="it-IT"/>
        </w:rPr>
        <w:t>DN 500.</w:t>
      </w:r>
    </w:p>
  </w:footnote>
  <w:footnote w:id="2">
    <w:p w:rsidR="006A00A4" w:rsidRPr="006D4402" w:rsidRDefault="006A00A4" w:rsidP="006A00A4">
      <w:pPr>
        <w:pStyle w:val="FootnoteText"/>
        <w:rPr>
          <w:lang w:val="it-IT"/>
        </w:rPr>
      </w:pPr>
      <w:r>
        <w:rPr>
          <w:rStyle w:val="FootnoteReference"/>
        </w:rPr>
        <w:t>**</w:t>
      </w:r>
      <w:r>
        <w:t xml:space="preserve"> σ </w:t>
      </w:r>
      <w:r>
        <w:rPr>
          <w:lang w:val="it-IT"/>
        </w:rPr>
        <w:t>min</w:t>
      </w:r>
      <w:r w:rsidRPr="00A855D2">
        <w:rPr>
          <w:lang w:val="it-IT"/>
        </w:rPr>
        <w:t xml:space="preserve"> = 2 m</w:t>
      </w:r>
      <w:r>
        <w:rPr>
          <w:lang w:val="it-IT"/>
        </w:rPr>
        <w:t>m, nëse dimensionet e tubit e l</w:t>
      </w:r>
      <w:r w:rsidRPr="00A855D2">
        <w:rPr>
          <w:lang w:val="it-IT"/>
        </w:rPr>
        <w:t>ejojn</w:t>
      </w:r>
      <w:r>
        <w:rPr>
          <w:lang w:val="it-IT"/>
        </w:rPr>
        <w:t>ë</w:t>
      </w:r>
      <w:r w:rsidRPr="00A855D2">
        <w:rPr>
          <w:lang w:val="it-IT"/>
        </w:rPr>
        <w:t xml:space="preserve"> k</w:t>
      </w:r>
      <w:r>
        <w:rPr>
          <w:lang w:val="it-IT"/>
        </w:rPr>
        <w:t>ë</w:t>
      </w:r>
      <w:r w:rsidRPr="00A855D2">
        <w:rPr>
          <w:lang w:val="it-IT"/>
        </w:rPr>
        <w:t>t</w:t>
      </w:r>
      <w:r>
        <w:rPr>
          <w:lang w:val="it-IT"/>
        </w:rPr>
        <w:t>ë vl</w:t>
      </w:r>
      <w:r w:rsidRPr="00A855D2">
        <w:rPr>
          <w:lang w:val="it-IT"/>
        </w:rPr>
        <w:t>er</w:t>
      </w:r>
      <w:r>
        <w:rPr>
          <w:lang w:val="it-IT"/>
        </w:rPr>
        <w:t>ë</w:t>
      </w:r>
      <w:r w:rsidRPr="00A855D2">
        <w:rPr>
          <w:lang w:val="it-IT"/>
        </w:rPr>
        <w:t>.</w:t>
      </w:r>
    </w:p>
  </w:footnote>
  <w:footnote w:id="3">
    <w:p w:rsidR="006A00A4" w:rsidRDefault="006A00A4" w:rsidP="006A00A4">
      <w:pPr>
        <w:pStyle w:val="FootnoteText"/>
      </w:pPr>
    </w:p>
  </w:footnote>
  <w:footnote w:id="4">
    <w:p w:rsidR="006A00A4" w:rsidRDefault="006A00A4" w:rsidP="006A00A4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22A3"/>
    <w:rsid w:val="0003399E"/>
    <w:rsid w:val="00040F76"/>
    <w:rsid w:val="00046FF9"/>
    <w:rsid w:val="000549AC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00A4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328495-C1E0-4319-B63E-D72F82DB5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0A4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A00A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A00A4"/>
    <w:rPr>
      <w:rFonts w:ascii="CG Times" w:hAnsi="CG Times"/>
      <w:caps/>
      <w:sz w:val="22"/>
      <w:szCs w:val="22"/>
      <w:lang w:val="en-GB" w:eastAsia="en-US" w:bidi="ar-SA"/>
    </w:rPr>
  </w:style>
  <w:style w:type="character" w:styleId="FootnoteReference">
    <w:name w:val="footnote reference"/>
    <w:basedOn w:val="DefaultParagraphFont"/>
    <w:semiHidden/>
    <w:rsid w:val="006A00A4"/>
    <w:rPr>
      <w:vertAlign w:val="superscript"/>
    </w:rPr>
  </w:style>
  <w:style w:type="paragraph" w:styleId="FootnoteText">
    <w:name w:val="footnote text"/>
    <w:basedOn w:val="Normal"/>
    <w:semiHidden/>
    <w:rsid w:val="006A00A4"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3965</Words>
  <Characters>22602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2019-03-16T13:25:00Z</dcterms:created>
  <dcterms:modified xsi:type="dcterms:W3CDTF">2019-03-16T13:25:00Z</dcterms:modified>
</cp:coreProperties>
</file>