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4CC" w:rsidRPr="00DE6DE4" w:rsidRDefault="004724CC" w:rsidP="004724CC">
      <w:pPr>
        <w:pStyle w:val="Akt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Vendim </w:t>
      </w:r>
    </w:p>
    <w:p w:rsidR="004724CC" w:rsidRPr="00DE6DE4" w:rsidRDefault="004724CC" w:rsidP="004724CC">
      <w:pPr>
        <w:pStyle w:val="NumriData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Nr.</w:t>
      </w:r>
      <w:r w:rsidR="00DE6DE4">
        <w:rPr>
          <w:rFonts w:ascii="Garamond" w:hAnsi="Garamond"/>
          <w:sz w:val="24"/>
          <w:szCs w:val="24"/>
        </w:rPr>
        <w:t xml:space="preserve"> </w:t>
      </w:r>
      <w:r w:rsidRPr="00DE6DE4">
        <w:rPr>
          <w:rFonts w:ascii="Garamond" w:hAnsi="Garamond"/>
          <w:sz w:val="24"/>
          <w:szCs w:val="24"/>
        </w:rPr>
        <w:t>179, datë 22.2.2006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</w:p>
    <w:p w:rsidR="004724CC" w:rsidRPr="00DE6DE4" w:rsidRDefault="004724CC" w:rsidP="004724CC">
      <w:pPr>
        <w:pStyle w:val="Titull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Për krijimin e njësive të integrimit europian në ministritë e linjës</w:t>
      </w:r>
    </w:p>
    <w:p w:rsidR="004724CC" w:rsidRPr="00DE6DE4" w:rsidRDefault="00DE6DE4" w:rsidP="00DE6DE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E6DE4">
        <w:rPr>
          <w:rFonts w:ascii="Garamond" w:hAnsi="Garamond"/>
          <w:i/>
          <w:sz w:val="24"/>
          <w:szCs w:val="24"/>
        </w:rPr>
        <w:t>(Ndryshuar me VKM nr. 17, datë 7.1.2009)</w:t>
      </w:r>
    </w:p>
    <w:p w:rsidR="00DE6DE4" w:rsidRDefault="00DE6DE4" w:rsidP="00DE6DE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E6DE4">
        <w:rPr>
          <w:rFonts w:ascii="Garamond" w:hAnsi="Garamond"/>
          <w:i/>
          <w:sz w:val="24"/>
          <w:szCs w:val="24"/>
        </w:rPr>
        <w:t>(i përditësuar)</w:t>
      </w:r>
    </w:p>
    <w:p w:rsidR="00DE6DE4" w:rsidRPr="00DE6DE4" w:rsidRDefault="00DE6DE4" w:rsidP="00DE6DE4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724CC" w:rsidRPr="00DE6DE4" w:rsidRDefault="004724CC" w:rsidP="004724CC">
      <w:pPr>
        <w:pStyle w:val="BazLigjPropozues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Në mbështetje të nenit 100 të Kushtetutës dhe të paragrafëve i parë dhe i dytë të nenit 4 të ligjit nr.</w:t>
      </w:r>
      <w:r w:rsidR="00DE6DE4">
        <w:rPr>
          <w:rFonts w:ascii="Garamond" w:hAnsi="Garamond"/>
          <w:sz w:val="24"/>
          <w:szCs w:val="24"/>
        </w:rPr>
        <w:t xml:space="preserve"> </w:t>
      </w:r>
      <w:r w:rsidRPr="00DE6DE4">
        <w:rPr>
          <w:rFonts w:ascii="Garamond" w:hAnsi="Garamond"/>
          <w:sz w:val="24"/>
          <w:szCs w:val="24"/>
        </w:rPr>
        <w:t>8549, datë 11.11.1999, “Statusi i nëpunësit civil”, me propozimin e Ministrit të Integrimit, Këshilli i Ministrave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</w:p>
    <w:p w:rsidR="004724CC" w:rsidRPr="00DE6DE4" w:rsidRDefault="004724CC" w:rsidP="004724CC">
      <w:pPr>
        <w:pStyle w:val="VENDOS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Vendosi: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</w:p>
    <w:p w:rsidR="00DE6DE4" w:rsidRPr="00DE6DE4" w:rsidRDefault="004724CC" w:rsidP="00DE6DE4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1. </w:t>
      </w:r>
      <w:r w:rsidR="00DE6DE4" w:rsidRPr="00DE6DE4">
        <w:rPr>
          <w:rFonts w:ascii="Garamond" w:eastAsia="MS Mincho" w:hAnsi="Garamond"/>
          <w:i/>
          <w:sz w:val="24"/>
          <w:szCs w:val="24"/>
        </w:rPr>
        <w:t>Krijimin e njësive të integrimit europian, si struktura të veçanta, në nivel drejtorie, në përbërje të të gjitha ministrive, me përjashtim të Ministrisë së Integrimit.</w:t>
      </w:r>
    </w:p>
    <w:p w:rsidR="004724CC" w:rsidRPr="00DE6DE4" w:rsidRDefault="00DE6DE4" w:rsidP="00DE6DE4">
      <w:pPr>
        <w:pStyle w:val="Paragrafi"/>
        <w:rPr>
          <w:rFonts w:ascii="Garamond" w:hAnsi="Garamond"/>
          <w:i/>
          <w:sz w:val="24"/>
          <w:szCs w:val="24"/>
        </w:rPr>
      </w:pPr>
      <w:r w:rsidRPr="00DE6DE4">
        <w:rPr>
          <w:rFonts w:ascii="Garamond" w:eastAsia="MS Mincho" w:hAnsi="Garamond"/>
          <w:i/>
          <w:sz w:val="24"/>
          <w:szCs w:val="24"/>
          <w:lang w:val="en-GB"/>
        </w:rPr>
        <w:t>Institucionet qendrore, në varësi të Kryeministrit ose të ministrit, krijojnë njësitë e integrimit europian, në përputhje me nevojat e tyre</w:t>
      </w:r>
      <w:r w:rsidR="004724CC" w:rsidRPr="00DE6DE4">
        <w:rPr>
          <w:rFonts w:ascii="Garamond" w:hAnsi="Garamond"/>
          <w:i/>
          <w:sz w:val="24"/>
          <w:szCs w:val="24"/>
        </w:rPr>
        <w:t>.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2. Njësitë e integrimit europian të bashkërendojnë dhe të mbështesin punën e inititucioneve respektive, për fushat e përqendruara në elementet kryesore të </w:t>
      </w:r>
      <w:r w:rsidRPr="00DE6DE4">
        <w:rPr>
          <w:rFonts w:ascii="Garamond" w:hAnsi="Garamond"/>
          <w:i/>
          <w:sz w:val="24"/>
          <w:szCs w:val="24"/>
        </w:rPr>
        <w:t>acquis communautaire,</w:t>
      </w:r>
      <w:r w:rsidRPr="00DE6DE4">
        <w:rPr>
          <w:rFonts w:ascii="Garamond" w:hAnsi="Garamond"/>
          <w:sz w:val="24"/>
          <w:szCs w:val="24"/>
        </w:rPr>
        <w:t xml:space="preserve"> në zbatimin e marrëveshjes së Stabilizim-Asociimit, sipas përcaktimit të aneksit I, që i bashkëlidhet këtij vendimi.</w:t>
      </w:r>
    </w:p>
    <w:p w:rsidR="004724CC" w:rsidRPr="00DE6DE4" w:rsidRDefault="004724CC" w:rsidP="004724CC">
      <w:pPr>
        <w:pStyle w:val="Paragrafi"/>
        <w:rPr>
          <w:rFonts w:ascii="Garamond" w:hAnsi="Garamond"/>
          <w:i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3. Numri i nëpunësve të këtyre njësive të përcaktohet më varësi të çështjeve dhe nevojave të secilit institucion, të përmend</w:t>
      </w:r>
      <w:r w:rsidR="00DE6DE4">
        <w:rPr>
          <w:rFonts w:ascii="Garamond" w:hAnsi="Garamond"/>
          <w:sz w:val="24"/>
          <w:szCs w:val="24"/>
        </w:rPr>
        <w:t>ur në pikën 1, të këtij vendimi</w:t>
      </w:r>
      <w:r w:rsidR="00DE6DE4" w:rsidRPr="00DE6DE4">
        <w:rPr>
          <w:rFonts w:ascii="Garamond" w:hAnsi="Garamond"/>
          <w:i/>
          <w:sz w:val="24"/>
          <w:szCs w:val="24"/>
        </w:rPr>
        <w:t xml:space="preserve">, </w:t>
      </w:r>
      <w:r w:rsidR="00DE6DE4" w:rsidRPr="00DE6DE4">
        <w:rPr>
          <w:rFonts w:ascii="Garamond" w:hAnsi="Garamond"/>
          <w:i/>
          <w:sz w:val="24"/>
          <w:szCs w:val="24"/>
        </w:rPr>
        <w:t>por jo më pak se tre nëpunës</w:t>
      </w:r>
      <w:r w:rsidR="00DE6DE4" w:rsidRPr="00DE6DE4">
        <w:rPr>
          <w:rFonts w:ascii="Garamond" w:hAnsi="Garamond"/>
          <w:i/>
          <w:sz w:val="24"/>
          <w:szCs w:val="24"/>
        </w:rPr>
        <w:t>.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4. Nëpunësit e njësisë së integrimit europian emërohen sipas procedurave të përcaktuara në legjislacionin e shërbimit civil, në përputhje me kriteret e parashikuara në aneksin II, që i bashkëlidhet këtij vendimi.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5. Njësia e integrimit europian është përgjegjëse për: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a) bashkërendimin e brendshëm institucional, sigurimin e lidhjes së drejtëpërdrejtë dhe bashkërendimin e punës me Ministrinë e Integrimit dhe me ministritë e tjera të linjës, për angazhimet e marra nga Republika e Shqipërisë, në kuadër të procesit të Stabilizim-Asociimit;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b) bashkërendimin e brendshëm institucional dhe bashkërendimin e punës me Ministrinë e Integrimit dhe me ministritë e tjera të linjës, për procesin e përafrimit të legjislacionit vendas me </w:t>
      </w:r>
      <w:r w:rsidRPr="00DE6DE4">
        <w:rPr>
          <w:rFonts w:ascii="Garamond" w:hAnsi="Garamond"/>
          <w:i/>
          <w:sz w:val="24"/>
          <w:szCs w:val="24"/>
        </w:rPr>
        <w:t>acquis communautaire</w:t>
      </w:r>
      <w:r w:rsidRPr="00DE6DE4">
        <w:rPr>
          <w:rFonts w:ascii="Garamond" w:hAnsi="Garamond"/>
          <w:sz w:val="24"/>
          <w:szCs w:val="24"/>
        </w:rPr>
        <w:t xml:space="preserve"> dhe për raportimin e akteve normative, që adaptojnë </w:t>
      </w:r>
      <w:r w:rsidRPr="00DE6DE4">
        <w:rPr>
          <w:rFonts w:ascii="Garamond" w:hAnsi="Garamond"/>
          <w:i/>
          <w:sz w:val="24"/>
          <w:szCs w:val="24"/>
        </w:rPr>
        <w:t>acquis communautaire</w:t>
      </w:r>
      <w:r w:rsidRPr="00DE6DE4">
        <w:rPr>
          <w:rFonts w:ascii="Garamond" w:hAnsi="Garamond"/>
          <w:sz w:val="24"/>
          <w:szCs w:val="24"/>
        </w:rPr>
        <w:t>, në kuadër të programit TAIEX;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c) bashkërendimin e brendshëm institucional për përgatitjen e raporteve për procesin e integrimit europian;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ç) monitorimin dhe raportimin brenda ministrisë për çështje të integrimit europian;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d) shpërndarjen e të dhënave për procesin e integrimit europian ndërmjet ministrisë ku bën pjesë, Ministrisë së Integrimit dhe njësive të integrimit europian në ministritë e tjera të linjës;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dh) vlerësimin e veprimtarisë së institucionit në raport me ecurinë e procesit të integrimit europian, propozimin e mekanizmave funksionalë për lehtësimin e zbatimit të reformave sektoriale, nga zbatimi i marrëveshjes së Stabilizim-Asociimit, përmes procesit të përafrimit të legjislacionit vendas me </w:t>
      </w:r>
      <w:r w:rsidRPr="00DE6DE4">
        <w:rPr>
          <w:rFonts w:ascii="Garamond" w:hAnsi="Garamond"/>
          <w:i/>
          <w:sz w:val="24"/>
          <w:szCs w:val="24"/>
        </w:rPr>
        <w:t>acquis communautaire</w:t>
      </w:r>
      <w:r w:rsidRPr="00DE6DE4">
        <w:rPr>
          <w:rFonts w:ascii="Garamond" w:hAnsi="Garamond"/>
          <w:sz w:val="24"/>
          <w:szCs w:val="24"/>
        </w:rPr>
        <w:t>, dhe ngritjes së kapaciteteve administrative;</w:t>
      </w:r>
    </w:p>
    <w:p w:rsidR="004724CC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e) rekomandimin e përparësive, shpërndarjen e burimeve njerëzore dhe planifikimin e veprimtarive për mbështetjen institucionale të procesit të integrimit europian.</w:t>
      </w:r>
    </w:p>
    <w:p w:rsidR="00DE6DE4" w:rsidRPr="00DE6DE4" w:rsidRDefault="00DE6DE4" w:rsidP="00DE6DE4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DE6DE4">
        <w:rPr>
          <w:rFonts w:ascii="Garamond" w:eastAsia="MS Mincho" w:hAnsi="Garamond"/>
          <w:i/>
        </w:rPr>
        <w:t>ë) bashkërendimin dhe monitorimin e programimit të ndihmës komunitare, që mund të ofrohet, në kuadër të integrimit europian;</w:t>
      </w:r>
    </w:p>
    <w:p w:rsidR="00DE6DE4" w:rsidRPr="00DE6DE4" w:rsidRDefault="00DE6DE4" w:rsidP="00DE6DE4">
      <w:pPr>
        <w:pStyle w:val="Paragrafi"/>
        <w:rPr>
          <w:rFonts w:ascii="Garamond" w:hAnsi="Garamond"/>
          <w:i/>
          <w:sz w:val="24"/>
          <w:szCs w:val="24"/>
        </w:rPr>
      </w:pPr>
      <w:r w:rsidRPr="00DE6DE4">
        <w:rPr>
          <w:rFonts w:ascii="Garamond" w:eastAsia="MS Mincho" w:hAnsi="Garamond"/>
          <w:i/>
          <w:sz w:val="24"/>
          <w:szCs w:val="24"/>
          <w:lang w:val="en-GB"/>
        </w:rPr>
        <w:t>f) mbështetjen teknike të mbledhjeve të grupeve të punës të përhershme, sipas kapitujve të acquis communautaire-GPKA;</w:t>
      </w:r>
    </w:p>
    <w:p w:rsidR="004724CC" w:rsidRPr="00DE6DE4" w:rsidRDefault="004724CC" w:rsidP="004724CC">
      <w:pPr>
        <w:pStyle w:val="Paragrafi"/>
        <w:rPr>
          <w:rFonts w:ascii="Garamond" w:hAnsi="Garamond"/>
          <w:i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6. Efektet financiare, që rrjedhin nga zbatimi i këtij vendimi, të përballohen nga buxhetet vjetore, të parashikuara </w:t>
      </w:r>
      <w:r w:rsidR="00DE6DE4" w:rsidRPr="00DE6DE4">
        <w:rPr>
          <w:rFonts w:ascii="Garamond" w:hAnsi="Garamond"/>
          <w:i/>
          <w:sz w:val="24"/>
          <w:szCs w:val="24"/>
        </w:rPr>
        <w:t xml:space="preserve">për institucionet e përcaktuara </w:t>
      </w:r>
      <w:r w:rsidR="00DE6DE4" w:rsidRPr="00DE6DE4">
        <w:rPr>
          <w:rFonts w:ascii="Garamond" w:hAnsi="Garamond"/>
          <w:i/>
          <w:sz w:val="24"/>
          <w:szCs w:val="24"/>
        </w:rPr>
        <w:t>në pikat 1 e 2 të këtij vendimi.</w:t>
      </w:r>
    </w:p>
    <w:p w:rsidR="009C035F" w:rsidRPr="009C035F" w:rsidRDefault="004724CC" w:rsidP="004724CC">
      <w:pPr>
        <w:pStyle w:val="Paragrafi"/>
        <w:rPr>
          <w:rFonts w:ascii="Garamond" w:hAnsi="Garamond"/>
          <w:i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lastRenderedPageBreak/>
        <w:t xml:space="preserve">7. </w:t>
      </w:r>
      <w:r w:rsidR="009C035F" w:rsidRPr="009C035F">
        <w:rPr>
          <w:rFonts w:ascii="Garamond" w:hAnsi="Garamond"/>
          <w:i/>
          <w:sz w:val="24"/>
          <w:szCs w:val="24"/>
        </w:rPr>
        <w:t>Ngarkohen institucionet e përmendura në pikat 1 e 2 të këtij vendimi, të cilat nuk i kanë implementuar, brenda strukturës së tyre, këto njësi të integrimit, të paraqesin, për miratim, te Kryeministri, propozimet për ngritjen e këtyre njësive, brenda muajit janar 2009.</w:t>
      </w:r>
    </w:p>
    <w:p w:rsidR="004724CC" w:rsidRPr="009C035F" w:rsidRDefault="004724CC" w:rsidP="004724CC">
      <w:pPr>
        <w:pStyle w:val="Paragrafi"/>
        <w:rPr>
          <w:rFonts w:ascii="Garamond" w:hAnsi="Garamond"/>
          <w:i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8. </w:t>
      </w:r>
      <w:r w:rsidR="009C035F" w:rsidRPr="009C035F">
        <w:rPr>
          <w:rFonts w:ascii="Garamond" w:hAnsi="Garamond"/>
          <w:i/>
          <w:sz w:val="24"/>
          <w:szCs w:val="24"/>
        </w:rPr>
        <w:t>Ngarkohen institucionet e përcaktuara në pikat 1 e 2 të këtij vendimi dhe Ministria e Integrimit për zbatimin e këtij vendimi.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Ky vendim hyn në fuqi pas botimit në Fletoren Zyrtare.</w:t>
      </w:r>
    </w:p>
    <w:p w:rsidR="004724CC" w:rsidRPr="00DE6DE4" w:rsidRDefault="004724CC" w:rsidP="004724CC">
      <w:pPr>
        <w:pStyle w:val="Paragrafi"/>
        <w:rPr>
          <w:rFonts w:ascii="Garamond" w:hAnsi="Garamond"/>
          <w:sz w:val="24"/>
          <w:szCs w:val="24"/>
        </w:rPr>
      </w:pPr>
    </w:p>
    <w:p w:rsidR="004724CC" w:rsidRPr="00DE6DE4" w:rsidRDefault="004724CC" w:rsidP="004724CC">
      <w:pPr>
        <w:pStyle w:val="Autoriteti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>Kryeministri</w:t>
      </w:r>
    </w:p>
    <w:p w:rsidR="004724CC" w:rsidRPr="00DE6DE4" w:rsidRDefault="004724CC" w:rsidP="004724CC">
      <w:pPr>
        <w:pStyle w:val="AutoritetiEmer"/>
        <w:rPr>
          <w:rFonts w:ascii="Garamond" w:hAnsi="Garamond"/>
          <w:sz w:val="24"/>
          <w:szCs w:val="24"/>
        </w:rPr>
      </w:pPr>
      <w:r w:rsidRPr="00DE6DE4">
        <w:rPr>
          <w:rFonts w:ascii="Garamond" w:hAnsi="Garamond"/>
          <w:sz w:val="24"/>
          <w:szCs w:val="24"/>
        </w:rPr>
        <w:t xml:space="preserve">Sali Berisha </w:t>
      </w:r>
    </w:p>
    <w:p w:rsidR="004724CC" w:rsidRDefault="004724CC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p w:rsidR="009C035F" w:rsidRPr="009C035F" w:rsidRDefault="009C035F" w:rsidP="009C035F">
      <w:pPr>
        <w:keepNext/>
        <w:widowControl w:val="0"/>
        <w:jc w:val="right"/>
        <w:rPr>
          <w:rFonts w:ascii="Garamond" w:eastAsia="MS Mincho" w:hAnsi="Garamond"/>
          <w:caps/>
          <w:lang w:val="en-GB"/>
        </w:rPr>
      </w:pPr>
      <w:r w:rsidRPr="009C035F">
        <w:rPr>
          <w:rFonts w:ascii="Garamond" w:eastAsia="MS Mincho" w:hAnsi="Garamond"/>
          <w:caps/>
          <w:lang w:val="en-GB"/>
        </w:rPr>
        <w:t>Aneksi I</w:t>
      </w:r>
    </w:p>
    <w:p w:rsidR="009C035F" w:rsidRPr="00313F35" w:rsidRDefault="009C035F" w:rsidP="009C035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13F35">
        <w:rPr>
          <w:rFonts w:ascii="Garamond" w:hAnsi="Garamond"/>
          <w:i/>
          <w:sz w:val="24"/>
          <w:szCs w:val="24"/>
        </w:rPr>
        <w:t>(Ndryshuar me VKM nr. 17, datë 7.1.2009)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</w:p>
    <w:p w:rsidR="009C035F" w:rsidRPr="009C035F" w:rsidRDefault="009C035F" w:rsidP="009C035F">
      <w:pPr>
        <w:keepNext/>
        <w:widowControl w:val="0"/>
        <w:jc w:val="center"/>
        <w:outlineLvl w:val="0"/>
        <w:rPr>
          <w:rFonts w:ascii="Garamond" w:eastAsia="MS Mincho" w:hAnsi="Garamond"/>
          <w:caps/>
          <w:lang w:val="en-GB"/>
        </w:rPr>
      </w:pPr>
      <w:r w:rsidRPr="009C035F">
        <w:rPr>
          <w:rFonts w:ascii="Garamond" w:eastAsia="MS Mincho" w:hAnsi="Garamond"/>
          <w:caps/>
          <w:lang w:val="en-GB"/>
        </w:rPr>
        <w:t>Fushat sektoriale që do të koordinojnë respektivisht nga njësitë e integrimit europian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</w:p>
    <w:tbl>
      <w:tblPr>
        <w:tblStyle w:val="TableGrid1"/>
        <w:tblW w:w="9759" w:type="dxa"/>
        <w:tblLook w:val="01E0" w:firstRow="1" w:lastRow="1" w:firstColumn="1" w:lastColumn="1" w:noHBand="0" w:noVBand="0"/>
      </w:tblPr>
      <w:tblGrid>
        <w:gridCol w:w="3460"/>
        <w:gridCol w:w="6299"/>
      </w:tblGrid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Institucioni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Fushat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Të gjitha ministritë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  <w:b/>
              </w:rPr>
            </w:pPr>
            <w:r w:rsidRPr="009C035F">
              <w:rPr>
                <w:rFonts w:ascii="Garamond" w:hAnsi="Garamond"/>
                <w:b/>
              </w:rPr>
              <w:t>Lufta kundër korrupsionit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Drejtësisë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-Sistemi gjyqësor;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-Përmirësimi i sistemit të burgjeve;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-Përmirësimi i funksionimit të sistemit përmbarimor;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-Mbrojtja e të drejtave të fëmijëve;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-Sistemi i regjistrimit të pasurive të paluajtshme;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-Kthimi dhe kompensimi i pronave;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-Bashkëpunimi gjyqësor ndërkombëtar;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-Njohja reciproke e kualifikimeve për profesionet e lira.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Jashtme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-Politika e vizave, politika e jashtme, minoritetet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Bujqësisë, Ushqimit dhe Mbrojtjes së Konsumatorit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-Siguria ushqimore;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-Shërbimet veterinare;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-Prodhimi bimor;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-Agropërpunimi dhe marketingu;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-Blegtoria;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-Mbrojtja e bimëve;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-Zhvillimi rural;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-Reforma e tokës, tregu, administrimi i qëndrueshëm dhe mbrojtja e tokës;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-Plehrat kimike/kimikatet-MBUMK (është përgjegjëse për kimikate si pesticide).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Ekonomisë, Tregtisë dhe Energjetikës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-Ndihma shtetërore;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-Të drejtat e pronësisë industriale;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-Marrëveshje të tregtisë së lirë;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-Andidumping;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-Standardizimi dhe certifikimi;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-Akreditimi;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-Metrologjia ligjore dhe parapaketimet;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-Direktivat e përafrimit teknik (</w:t>
            </w:r>
            <w:r w:rsidRPr="009C035F">
              <w:rPr>
                <w:rFonts w:ascii="Garamond" w:hAnsi="Garamond"/>
                <w:i/>
              </w:rPr>
              <w:t>Në Approach</w:t>
            </w:r>
            <w:r w:rsidRPr="009C035F">
              <w:rPr>
                <w:rFonts w:ascii="Garamond" w:hAnsi="Garamond"/>
              </w:rPr>
              <w:t>)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Pajisjet elektrike;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Enët me presion;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Lodrat;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Përputhshmëria elektromagnetike;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Makineritë;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Pajisjet e mbrojtjes personale;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Pajisje me gaz;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Mbi kërkesat për efiçencën e bojlerëve të rinj që punojnë me lëndë djegëse dhe të gazta;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Pajisjet dhe sistemet mbrojtëse të përdorshme në atmosfera potencialisht shpërthyese;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Ashensorët;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Paketimi i mbetjeve;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Instalime kabllore për transport personash;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lastRenderedPageBreak/>
              <w:t>Efiçenca energjetike e pajisjeve frigoriferike, ndriçimit fluoreshent dhe paketimi i pajisjeve elektroshtëpiake;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-Direktivat e përafrimit të vjetër;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Qelqi;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Tekstilet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Druri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-Mbrojtja e konsumatorit dhe mbikëqyrja e tregut;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-Liria e vendosjes dhe për të ofruar shërbime;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-Legjislacioni për shoqëritë tregtare;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-Zhvillimi rajonal;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-Energjia;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Sektori i energjisë;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Sektori i hidrokarbureve;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-Politikat industriale;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Politikat industriale;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Sektori i minierave;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-SME-të, ndërmarrjet e vogla dhe të mesme;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-Kimikatet METE (është përgjegjëse për kimkatet si lëndë e parë për industrinë duke përfshirë import-eksportin).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lastRenderedPageBreak/>
              <w:t>Ministria e Financave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-Doganat;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-Tatimet;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-Menaxhimi i financave publike;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-Parandalimi i pastrimit të parave;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Mjedisit, Pyjeve dhe Administrimit të Ujërave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 Legjislacioni horizontal për mjedisin;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-Cilësia e ajrit;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-Menaxhimi i mbetjeve;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-Administrimi i burimeve ujore;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-Parandalimi i ndotjes së ujit;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-Mbrojtja e natyrës;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-Ndotja dhe rreziqet industriale;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-Kimikatet-MMPAU (është përgjegjëse për kimikatet si mbetje industriale të rrezikshme);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-Organizmat e modifikuar gjenetikisht;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-Zhurmat;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-Ndryshimet klimatike;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-Pyjet dhe kullotat;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-Peshkimi;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-Dialogu social.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Punës, Çështjeve Sociale dhe Shanseve të Barabarta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-Punësimi;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-Mbrojtja shoqërore;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-Shëndeti dhe siguria në punë;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-Barazia gjinore;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-Politika e migracioni;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-Minoritetet;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-Kimikatet-MPÇSSHB (në këtë institucion operon Inspektorati i Punës për Mbrojtjen e Punonjësve në Industri nga Kimikatet).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Shëndetësisë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-Shëndeti publik;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Sëmundjet ngjitëse;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Mbrojtja nga duhani;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Mbrojtja nga alkooli;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Transfuzioni i gjakut;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lastRenderedPageBreak/>
              <w:t>-Barnat për përdorim njerëzor;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-Pajisjet mjekësore;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-Produktet kozmetike;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-Siguria bërthamore dhe mbrojtja nga rrezatimet;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-Njohja reciproke e kualifikimeve për profesionet e lira;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-Kimikatet-MSH (është përgjegjëse për kimikatet spitalore dhe barnat).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lastRenderedPageBreak/>
              <w:t>Ministria e Brendshme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-Administrata publike;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-Reforma e decentralizimit;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-Gjendja civile;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-Menaxhimi i kufijve;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-Azili;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-Krimi i organizuar dhe trafiqet e paligjshme;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-Lufta kundër drogës;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Parandalimi i pastrimit të parave;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-Lufta kundër terrorizmit;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-Policia.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Mbrojtjes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-Lufta kundër terrorizmit;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Çminimi;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-Materialet dhe teknologjitë me përdorim të dyfishtë.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Punëve Publike, Transportit dhe Telekomunikacionit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-Transporti rrugor;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-Transporti hekurudhor;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-Sistemi hekurudhor i shpejtësisë së lartë;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-Mjetet motorike;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-Transporti detar;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-Transporti ajror;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-Infrastrukturë rrugore;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-Siguria rrugore;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-Materialet e ndërtimit;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-Menaxhimi i ujit të pijshëm;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-Telekomunikacioni;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-Shërbimet postare;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-Kimikatet-MPPTT (është përgjegjëse për kimikatet nga mbetjet urbane).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Arsimit dhe Shkencës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-Arsimi dhe formimi profesional;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-Mosdiskrimini në arsim;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-Arsimi parauniversitar;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-Arsimi i lartë;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-Kërkimi shkencor;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-Njohja e diplomave.</w:t>
            </w:r>
          </w:p>
        </w:tc>
      </w:tr>
      <w:tr w:rsidR="009C035F" w:rsidRPr="009C035F" w:rsidTr="001130D3">
        <w:tc>
          <w:tcPr>
            <w:tcW w:w="3460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Ministria e Turizmit, Kulturës, Rinisë dhe Sporteve</w:t>
            </w:r>
          </w:p>
        </w:tc>
        <w:tc>
          <w:tcPr>
            <w:tcW w:w="6299" w:type="dxa"/>
          </w:tcPr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-Lëvizja e lirë e mallrave kulturore;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-Kultura dhe turizmi;</w:t>
            </w:r>
          </w:p>
          <w:p w:rsidR="009C035F" w:rsidRPr="009C035F" w:rsidRDefault="009C035F" w:rsidP="009C035F">
            <w:pPr>
              <w:widowControl w:val="0"/>
              <w:jc w:val="both"/>
              <w:rPr>
                <w:rFonts w:ascii="Garamond" w:hAnsi="Garamond"/>
              </w:rPr>
            </w:pPr>
            <w:r w:rsidRPr="009C035F">
              <w:rPr>
                <w:rFonts w:ascii="Garamond" w:hAnsi="Garamond"/>
              </w:rPr>
              <w:t>-Të drejtat e pronësisë intelektuale.</w:t>
            </w:r>
          </w:p>
        </w:tc>
      </w:tr>
    </w:tbl>
    <w:p w:rsidR="009C035F" w:rsidRPr="00313F35" w:rsidRDefault="009C035F" w:rsidP="009C035F">
      <w:pPr>
        <w:widowControl w:val="0"/>
        <w:ind w:firstLine="720"/>
        <w:jc w:val="right"/>
        <w:rPr>
          <w:rFonts w:ascii="Garamond" w:eastAsia="MS Mincho" w:hAnsi="Garamond"/>
        </w:rPr>
      </w:pPr>
    </w:p>
    <w:p w:rsidR="009C035F" w:rsidRPr="009C035F" w:rsidRDefault="009C035F" w:rsidP="009C035F">
      <w:pPr>
        <w:widowControl w:val="0"/>
        <w:ind w:firstLine="720"/>
        <w:jc w:val="right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ANEKSI II</w:t>
      </w:r>
    </w:p>
    <w:p w:rsidR="009C035F" w:rsidRPr="00313F35" w:rsidRDefault="009C035F" w:rsidP="009C035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13F35">
        <w:rPr>
          <w:rFonts w:ascii="Garamond" w:hAnsi="Garamond"/>
          <w:i/>
          <w:sz w:val="24"/>
          <w:szCs w:val="24"/>
        </w:rPr>
        <w:t>(Ndryshuar me VKM nr. 17, datë 7.1.2009)</w:t>
      </w:r>
    </w:p>
    <w:p w:rsidR="009C035F" w:rsidRPr="009C035F" w:rsidRDefault="009C035F" w:rsidP="009C035F">
      <w:pPr>
        <w:widowControl w:val="0"/>
        <w:ind w:firstLine="720"/>
        <w:jc w:val="right"/>
        <w:rPr>
          <w:rFonts w:ascii="Garamond" w:eastAsia="MS Mincho" w:hAnsi="Garamond"/>
        </w:rPr>
      </w:pPr>
    </w:p>
    <w:p w:rsidR="009C035F" w:rsidRPr="009C035F" w:rsidRDefault="009C035F" w:rsidP="009C035F">
      <w:pPr>
        <w:keepNext/>
        <w:widowControl w:val="0"/>
        <w:jc w:val="center"/>
        <w:outlineLvl w:val="0"/>
        <w:rPr>
          <w:rFonts w:ascii="Garamond" w:eastAsia="MS Mincho" w:hAnsi="Garamond"/>
          <w:caps/>
          <w:lang w:val="en-GB"/>
        </w:rPr>
      </w:pPr>
      <w:r w:rsidRPr="009C035F">
        <w:rPr>
          <w:rFonts w:ascii="Garamond" w:eastAsia="MS Mincho" w:hAnsi="Garamond"/>
          <w:caps/>
          <w:lang w:val="en-GB"/>
        </w:rPr>
        <w:t>Kriteret për përzgjedhjen e nëpunësve të njësive të integrimit europian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 xml:space="preserve">Nëpunësi i njësisë së integrimit europian duhet të përzgjidhet në bazë të kritereve të </w:t>
      </w:r>
      <w:bookmarkStart w:id="0" w:name="_GoBack"/>
      <w:bookmarkEnd w:id="0"/>
      <w:r w:rsidRPr="009C035F">
        <w:rPr>
          <w:rFonts w:ascii="Garamond" w:eastAsia="MS Mincho" w:hAnsi="Garamond"/>
        </w:rPr>
        <w:lastRenderedPageBreak/>
        <w:t>përgjithshme të mëposhtme: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 Të ketë mbaruar arsimin e lartë;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 Grada master përbën avantazh;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 Eksperienca në punë të ngjashme përbën avantazh;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 Të ketë aftësi në përgatitje raportesh, analizash, komunikim dhe prezantim;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-Të ketë njohuri shumë të mira në gjuhën angleze;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-Njohja e një gjuhe të dytë të BE-së përbën avantazh;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-Të përdorë programet bazë të punës në kompjuter;</w:t>
      </w:r>
    </w:p>
    <w:p w:rsidR="009C035F" w:rsidRPr="009C035F" w:rsidRDefault="009C035F" w:rsidP="009C035F">
      <w:pPr>
        <w:widowControl w:val="0"/>
        <w:ind w:firstLine="720"/>
        <w:jc w:val="both"/>
        <w:rPr>
          <w:rFonts w:ascii="Garamond" w:eastAsia="MS Mincho" w:hAnsi="Garamond"/>
        </w:rPr>
      </w:pPr>
      <w:r w:rsidRPr="009C035F">
        <w:rPr>
          <w:rFonts w:ascii="Garamond" w:eastAsia="MS Mincho" w:hAnsi="Garamond"/>
        </w:rPr>
        <w:t>-Të ketë aftësi të mira komunikuese dhe të punës në grup.</w:t>
      </w:r>
    </w:p>
    <w:p w:rsidR="009C035F" w:rsidRPr="00313F35" w:rsidRDefault="009C035F" w:rsidP="004724CC">
      <w:pPr>
        <w:pStyle w:val="Paragrafi"/>
        <w:rPr>
          <w:rFonts w:ascii="Garamond" w:hAnsi="Garamond"/>
          <w:sz w:val="24"/>
          <w:szCs w:val="24"/>
        </w:rPr>
      </w:pPr>
    </w:p>
    <w:sectPr w:rsidR="009C035F" w:rsidRPr="00313F3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3F35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24C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1194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035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227E"/>
    <w:rsid w:val="00D1319A"/>
    <w:rsid w:val="00D7455C"/>
    <w:rsid w:val="00D92AC6"/>
    <w:rsid w:val="00D97A55"/>
    <w:rsid w:val="00DC64E5"/>
    <w:rsid w:val="00DE6DE4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797A6"/>
  <w15:chartTrackingRefBased/>
  <w15:docId w15:val="{59BF2F01-A651-40BE-9CF1-978BB336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4C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7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4724CC"/>
    <w:rPr>
      <w:rFonts w:ascii="CG Times" w:hAnsi="CG Times"/>
      <w:sz w:val="22"/>
      <w:lang w:val="en-US" w:eastAsia="en-US" w:bidi="ar-SA"/>
    </w:rPr>
  </w:style>
  <w:style w:type="paragraph" w:customStyle="1" w:styleId="CM6">
    <w:name w:val="CM6"/>
    <w:basedOn w:val="Normal"/>
    <w:next w:val="Normal"/>
    <w:rsid w:val="00DE6DE4"/>
    <w:pPr>
      <w:widowControl w:val="0"/>
      <w:autoSpaceDE w:val="0"/>
      <w:autoSpaceDN w:val="0"/>
      <w:adjustRightInd w:val="0"/>
    </w:pPr>
    <w:rPr>
      <w:rFonts w:ascii="Arial" w:eastAsia="MS Mincho" w:hAnsi="Arial"/>
      <w:szCs w:val="20"/>
      <w:lang w:val="sq-AL"/>
    </w:rPr>
  </w:style>
  <w:style w:type="table" w:customStyle="1" w:styleId="TableGrid1">
    <w:name w:val="Table Grid1"/>
    <w:basedOn w:val="TableNormal"/>
    <w:next w:val="TableGrid"/>
    <w:rsid w:val="009C035F"/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2025-10-29T12:22:00Z</dcterms:created>
  <dcterms:modified xsi:type="dcterms:W3CDTF">2025-10-29T12:26:00Z</dcterms:modified>
</cp:coreProperties>
</file>