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286" w:rsidRPr="009A6FC4" w:rsidRDefault="00CE1286" w:rsidP="00CE1286">
      <w:pPr>
        <w:pStyle w:val="Akt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VENDIM</w:t>
      </w:r>
    </w:p>
    <w:p w:rsidR="00CE1286" w:rsidRPr="009A6FC4" w:rsidRDefault="00CE1286" w:rsidP="00CE1286">
      <w:pPr>
        <w:pStyle w:val="NumriData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Nr.</w:t>
      </w:r>
      <w:r w:rsidR="009A6FC4">
        <w:rPr>
          <w:rFonts w:ascii="Garamond" w:hAnsi="Garamond"/>
          <w:sz w:val="24"/>
          <w:szCs w:val="24"/>
        </w:rPr>
        <w:t xml:space="preserve"> </w:t>
      </w:r>
      <w:r w:rsidRPr="009A6FC4">
        <w:rPr>
          <w:rFonts w:ascii="Garamond" w:hAnsi="Garamond"/>
          <w:sz w:val="24"/>
          <w:szCs w:val="24"/>
        </w:rPr>
        <w:t>198, datë 5.4.2006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</w:p>
    <w:p w:rsidR="00CE1286" w:rsidRPr="009A6FC4" w:rsidRDefault="00CE1286" w:rsidP="00CE1286">
      <w:pPr>
        <w:pStyle w:val="Titull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PËR PRANIMET NË UNIVERSITETET DHE SHKOLLAT E LARTA, PËR VITIN AKADEMIK 2006-2007, NË SISTEMIN ME KOHË TË PLOTË, DHE PËR PËRCAKTIMIN E TARIFËS SË SHKOLLIMIT</w:t>
      </w:r>
    </w:p>
    <w:p w:rsidR="00CE1286" w:rsidRPr="009A6FC4" w:rsidRDefault="009A6FC4" w:rsidP="009A6FC4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A6FC4">
        <w:rPr>
          <w:rFonts w:ascii="Garamond" w:hAnsi="Garamond"/>
          <w:i/>
          <w:sz w:val="24"/>
          <w:szCs w:val="24"/>
        </w:rPr>
        <w:t>(Ndryshuar me VKM nr. 567, datë 23.8.2006)</w:t>
      </w:r>
    </w:p>
    <w:p w:rsidR="009A6FC4" w:rsidRDefault="009A6FC4" w:rsidP="009A6FC4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9A6FC4">
        <w:rPr>
          <w:rFonts w:ascii="Garamond" w:hAnsi="Garamond"/>
          <w:i/>
          <w:sz w:val="24"/>
          <w:szCs w:val="24"/>
        </w:rPr>
        <w:t>(i përditësuar)</w:t>
      </w:r>
    </w:p>
    <w:p w:rsidR="009A6FC4" w:rsidRPr="009A6FC4" w:rsidRDefault="009A6FC4" w:rsidP="009A6FC4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CE1286" w:rsidRPr="009A6FC4" w:rsidRDefault="00CE1286" w:rsidP="00CE1286">
      <w:pPr>
        <w:pStyle w:val="BazLigjPropozues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Në mbështetje të nenit 100 të Kushtetutës dhe të neneve 24, 31 e 42 të 1igjit nr.</w:t>
      </w:r>
      <w:r w:rsidR="009A6FC4">
        <w:rPr>
          <w:rFonts w:ascii="Garamond" w:hAnsi="Garamond"/>
          <w:sz w:val="24"/>
          <w:szCs w:val="24"/>
        </w:rPr>
        <w:t xml:space="preserve"> </w:t>
      </w:r>
      <w:r w:rsidRPr="009A6FC4">
        <w:rPr>
          <w:rFonts w:ascii="Garamond" w:hAnsi="Garamond"/>
          <w:sz w:val="24"/>
          <w:szCs w:val="24"/>
        </w:rPr>
        <w:t>8461, datë 25.2.1999 “Për arsimin e lartë në Republikën e Shqipërisë”, të ndryshuar, me propozimin e Ministrit të Arsimit dhe Shkencës, Këshilli i Ministrave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</w:p>
    <w:p w:rsidR="00CE1286" w:rsidRPr="009A6FC4" w:rsidRDefault="00CE1286" w:rsidP="00CE1286">
      <w:pPr>
        <w:pStyle w:val="VENDOS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VENDOSI: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1. Kuota e përgjithshme e pranimeve, për degët e studimit me numër të mbyllur, në universitetet dhe shkollat e larta, për vitin akademik 2006- 2007, në sistemin me kohë të plotë, të jetë 8 440 studentë dhe të ndahet: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A. Kuota e pranimeve të reja për degët e studimit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me numër të mbyllur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7 900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B. Kuota për degë të dytë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 xml:space="preserve">   250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C. Kuota për vite të ndërmjetme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 xml:space="preserve">   250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D. Kuota për shtetasit e huaj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 xml:space="preserve">     40</w:t>
      </w:r>
    </w:p>
    <w:p w:rsidR="009A6FC4" w:rsidRPr="00895A36" w:rsidRDefault="00CE1286" w:rsidP="009A6FC4">
      <w:pPr>
        <w:pStyle w:val="Paragrafi"/>
        <w:rPr>
          <w:rFonts w:ascii="Garamond" w:hAnsi="Garamond"/>
          <w:i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 xml:space="preserve">2. </w:t>
      </w:r>
      <w:r w:rsidR="009A6FC4" w:rsidRPr="00895A36">
        <w:rPr>
          <w:rFonts w:ascii="Garamond" w:hAnsi="Garamond"/>
          <w:i/>
          <w:sz w:val="24"/>
          <w:szCs w:val="24"/>
        </w:rPr>
        <w:t>Kuotat e pranimeve të reja përbëhen nga:</w:t>
      </w:r>
    </w:p>
    <w:p w:rsidR="009A6FC4" w:rsidRPr="00895A36" w:rsidRDefault="009A6FC4" w:rsidP="009A6FC4">
      <w:pPr>
        <w:pStyle w:val="Paragrafi"/>
        <w:rPr>
          <w:rFonts w:ascii="Garamond" w:hAnsi="Garamond"/>
          <w:i/>
          <w:sz w:val="24"/>
          <w:szCs w:val="24"/>
        </w:rPr>
      </w:pPr>
      <w:r w:rsidRPr="00895A36">
        <w:rPr>
          <w:rFonts w:ascii="Garamond" w:hAnsi="Garamond"/>
          <w:i/>
          <w:sz w:val="24"/>
          <w:szCs w:val="24"/>
        </w:rPr>
        <w:t>a) Kuota kryesore</w:t>
      </w:r>
      <w:r w:rsidRPr="00895A36">
        <w:rPr>
          <w:rFonts w:ascii="Garamond" w:hAnsi="Garamond"/>
          <w:i/>
          <w:sz w:val="24"/>
          <w:szCs w:val="24"/>
        </w:rPr>
        <w:tab/>
      </w:r>
      <w:r w:rsidRPr="00895A36">
        <w:rPr>
          <w:rFonts w:ascii="Garamond" w:hAnsi="Garamond"/>
          <w:i/>
          <w:sz w:val="24"/>
          <w:szCs w:val="24"/>
        </w:rPr>
        <w:tab/>
      </w:r>
      <w:r w:rsidRPr="00895A36">
        <w:rPr>
          <w:rFonts w:ascii="Garamond" w:hAnsi="Garamond"/>
          <w:i/>
          <w:sz w:val="24"/>
          <w:szCs w:val="24"/>
        </w:rPr>
        <w:tab/>
      </w:r>
      <w:r w:rsidRPr="00895A36">
        <w:rPr>
          <w:rFonts w:ascii="Garamond" w:hAnsi="Garamond"/>
          <w:i/>
          <w:sz w:val="24"/>
          <w:szCs w:val="24"/>
        </w:rPr>
        <w:tab/>
      </w:r>
      <w:r w:rsidRPr="00895A36">
        <w:rPr>
          <w:rFonts w:ascii="Garamond" w:hAnsi="Garamond"/>
          <w:i/>
          <w:sz w:val="24"/>
          <w:szCs w:val="24"/>
        </w:rPr>
        <w:tab/>
      </w:r>
      <w:r w:rsidR="00895A36">
        <w:rPr>
          <w:rFonts w:ascii="Garamond" w:hAnsi="Garamond"/>
          <w:i/>
          <w:sz w:val="24"/>
          <w:szCs w:val="24"/>
        </w:rPr>
        <w:t xml:space="preserve">                       </w:t>
      </w:r>
      <w:r w:rsidRPr="00895A36">
        <w:rPr>
          <w:rFonts w:ascii="Garamond" w:hAnsi="Garamond"/>
          <w:i/>
          <w:sz w:val="24"/>
          <w:szCs w:val="24"/>
        </w:rPr>
        <w:t>7591;</w:t>
      </w:r>
    </w:p>
    <w:p w:rsidR="009A6FC4" w:rsidRPr="00895A36" w:rsidRDefault="009A6FC4" w:rsidP="009A6FC4">
      <w:pPr>
        <w:pStyle w:val="Paragrafi"/>
        <w:rPr>
          <w:rFonts w:ascii="Garamond" w:hAnsi="Garamond"/>
          <w:i/>
          <w:sz w:val="24"/>
          <w:szCs w:val="24"/>
        </w:rPr>
      </w:pPr>
      <w:r w:rsidRPr="00895A36">
        <w:rPr>
          <w:rFonts w:ascii="Garamond" w:hAnsi="Garamond"/>
          <w:i/>
          <w:sz w:val="24"/>
          <w:szCs w:val="24"/>
        </w:rPr>
        <w:t>b) Kuota për shqiptarët nga troje jashtë vendit</w:t>
      </w:r>
      <w:r w:rsidRPr="00895A36">
        <w:rPr>
          <w:rFonts w:ascii="Garamond" w:hAnsi="Garamond"/>
          <w:i/>
          <w:sz w:val="24"/>
          <w:szCs w:val="24"/>
        </w:rPr>
        <w:tab/>
      </w:r>
      <w:r w:rsidRPr="00895A36">
        <w:rPr>
          <w:rFonts w:ascii="Garamond" w:hAnsi="Garamond"/>
          <w:i/>
          <w:sz w:val="24"/>
          <w:szCs w:val="24"/>
        </w:rPr>
        <w:tab/>
      </w:r>
      <w:r w:rsidR="00895A36">
        <w:rPr>
          <w:rFonts w:ascii="Garamond" w:hAnsi="Garamond"/>
          <w:i/>
          <w:sz w:val="24"/>
          <w:szCs w:val="24"/>
        </w:rPr>
        <w:t xml:space="preserve">            </w:t>
      </w:r>
      <w:r w:rsidRPr="00895A36">
        <w:rPr>
          <w:rFonts w:ascii="Garamond" w:hAnsi="Garamond"/>
          <w:i/>
          <w:sz w:val="24"/>
          <w:szCs w:val="24"/>
        </w:rPr>
        <w:t>309.</w:t>
      </w:r>
    </w:p>
    <w:p w:rsidR="00A22F60" w:rsidRDefault="00CE1286" w:rsidP="00CE1286">
      <w:pPr>
        <w:pStyle w:val="Paragrafi"/>
        <w:rPr>
          <w:rFonts w:ascii="Garamond" w:hAnsi="Garamond"/>
          <w:i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 xml:space="preserve">3. </w:t>
      </w:r>
      <w:r w:rsidR="00895A36" w:rsidRPr="00895A36">
        <w:rPr>
          <w:rFonts w:ascii="Garamond" w:hAnsi="Garamond"/>
          <w:i/>
          <w:sz w:val="24"/>
          <w:szCs w:val="24"/>
        </w:rPr>
        <w:t>Kuotat e pranimeve të reja ndahen sipas shkollave të larta dhe universiteteve. Kuotat kryesore janë sipas tabelës nr.1, që i bashkëlidhet këtij vendimi. Për degët, për të cilat nuk janë parashikuar kuota, pranimi është i lirë. Këtu nuk janë parashikuar kuotat për vite të ndërmjetme, për degë të dytë dhe kuotat për studentët e huaj.</w:t>
      </w:r>
    </w:p>
    <w:p w:rsidR="00CE1286" w:rsidRPr="009A6FC4" w:rsidRDefault="00895A36" w:rsidP="00CE1286">
      <w:pPr>
        <w:pStyle w:val="Paragrafi"/>
        <w:rPr>
          <w:rFonts w:ascii="Garamond" w:hAnsi="Garamond"/>
          <w:sz w:val="24"/>
          <w:szCs w:val="24"/>
        </w:rPr>
      </w:pPr>
      <w:r w:rsidRPr="00895A36">
        <w:rPr>
          <w:rFonts w:ascii="Garamond" w:hAnsi="Garamond"/>
          <w:i/>
          <w:sz w:val="24"/>
          <w:szCs w:val="24"/>
        </w:rPr>
        <w:t xml:space="preserve"> </w:t>
      </w:r>
      <w:r w:rsidR="00CE1286" w:rsidRPr="009A6FC4">
        <w:rPr>
          <w:rFonts w:ascii="Garamond" w:hAnsi="Garamond"/>
          <w:sz w:val="24"/>
          <w:szCs w:val="24"/>
        </w:rPr>
        <w:t>4. Kandidatët shqiptarë nga trojet jashtë kufijve të vendit: Kosovë, Maqedoni, Mali i Zi, Preshevë, Bujanovcë dhe Medvegjë, konkurrojnë ndërmjet tyre për kuotat e pranimit, të përcaktuara sipas degëve, në tabelën nr.3, që i bashkëlidhet këtij vendimi.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5. Kuotat e pranimit për shtetasit e huaj, që do të studiojnë në shkollat e larta dhe universitetet e Republikës së Shqipërisë, administrohen nga Ministria e Arsimit dhe Shkencës, në bazë të kërkesave të paraqitura prej shkollave të larta dhe universiteteve.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6. Kuotat e pranimeve për vite të ndërmjetme dhe degë të dytë administrohen nga Ministria e Arsimit dhe Shkencës dhe shpërndahen sipas kërkesave të paraqitura nga shkollat e larta dhe universitetet.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7. Kandidatët, që do të vazhdojnë studimet në një degë të dytë, e fitojnë atë duke konkurruar me dosje kundrejt kuotave të parashikuara në këtë vendim dhe i nënshtrohen tarifës së veçantë të shkollimit. Masa e tarifës së shkollimit, për degë të dytë, është e barabartë me tarifën e shkollimit për kuotat dytësore. Në rastet kur ka më shumë kandidatë se kuotat e përcaktuara në këtë vendim, përzgjedhja e kandidatëve bëhet në bazë të masës së ekuivalentimit dhe të cilësisë së rezultateve.</w:t>
      </w:r>
    </w:p>
    <w:p w:rsidR="00CE1286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8. Kandidatët që kërkojnë të studiojnë në universitetet dhe shkollat e larta, për vitin akademik 2006-2007, dhe që vijnë nga shtresat sociale si: ish-të dënuar dhe ish-të përndjekur politikë</w:t>
      </w:r>
      <w:r w:rsidR="00895A36">
        <w:rPr>
          <w:rFonts w:ascii="Garamond" w:hAnsi="Garamond"/>
          <w:sz w:val="24"/>
          <w:szCs w:val="24"/>
        </w:rPr>
        <w:t xml:space="preserve"> nga sistemi komunist</w:t>
      </w:r>
      <w:r w:rsidRPr="009A6FC4">
        <w:rPr>
          <w:rFonts w:ascii="Garamond" w:hAnsi="Garamond"/>
          <w:sz w:val="24"/>
          <w:szCs w:val="24"/>
        </w:rPr>
        <w:t>, të kenë tarifë shkollimi sa gjysma e tarifës së shkollimit të degës përkatëse. Numri i kandidatëve, që përfitojnë nga kjo tarifë, të jetë jo më i lartë se 200. Përzgjedhja e tyre të bëhet në bazë të rezultateve të arritura në shkollën e mesme dhe në provimet e maturës shtetërore.</w:t>
      </w:r>
    </w:p>
    <w:p w:rsidR="00661DFD" w:rsidRPr="00661DFD" w:rsidRDefault="00661DFD" w:rsidP="00CE1286">
      <w:pPr>
        <w:pStyle w:val="Paragrafi"/>
        <w:rPr>
          <w:rFonts w:ascii="Garamond" w:hAnsi="Garamond"/>
          <w:i/>
          <w:sz w:val="24"/>
          <w:szCs w:val="24"/>
        </w:rPr>
      </w:pPr>
      <w:r w:rsidRPr="00661DFD">
        <w:rPr>
          <w:rFonts w:ascii="Garamond" w:hAnsi="Garamond"/>
          <w:i/>
          <w:sz w:val="24"/>
          <w:szCs w:val="24"/>
        </w:rPr>
        <w:t xml:space="preserve">8/1. Kandidatët, që do të fitojnë të drejtën për të studiuar në universitetet dhe shkollat e larta, për vitin </w:t>
      </w:r>
      <w:r w:rsidRPr="00661DFD">
        <w:rPr>
          <w:rFonts w:ascii="Garamond" w:hAnsi="Garamond"/>
          <w:i/>
          <w:sz w:val="24"/>
          <w:szCs w:val="24"/>
        </w:rPr>
        <w:lastRenderedPageBreak/>
        <w:t>akademik 2006-2007, dhe që vijnë nga shtresat sociale si: të verbër, invalidë, paraplegjikë dhe tetraplegjikë, fëmijë të policëve, të rënë ose të plagosur, për shkak të detyrës, i ndjekin studimet pa tarifë shkollimi.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9. Tarifa vjetore e shkollimit për studentët, që do të regjistrohen në kursin e parë të vitit akademik 2006-2007 të jetë: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I. Në Universitetin e Tiranës: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1. Në Fakultetin e Shkencave të Natyrës</w:t>
      </w:r>
      <w:r w:rsidRPr="009A6FC4">
        <w:rPr>
          <w:rFonts w:ascii="Garamond" w:hAnsi="Garamond"/>
          <w:sz w:val="24"/>
          <w:szCs w:val="24"/>
        </w:rPr>
        <w:tab/>
        <w:t>15 000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2. Në Fakultetin e Gjuhëve të Huaja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15 000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3. Në Fakultetin e Drejtësisë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30 000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4. Në Fakultetin e Shkencave Sociale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30 000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5. Në Fakultetin e Mjekësisë: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5.1. në degën e Mjekësisë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25 000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5.2. në degën e Farmacisë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30 000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5.3. në degën e Stomatologjisë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30 000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6. Në Fakultetin e Infermierisë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25 000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7. Në Fakultetin e Histori-Filologjisë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20 000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8. Në Fakultetin e Ekonomisë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25 000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II. Në Universitetin Politeknik: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1. Në degën Arkitekturë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30 000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2. Në degën Ndërtim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25 000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3. Në degen Elektrike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20 000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4. Në degën Elektronike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20 000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5. Në degët e tjera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15 000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smartTag w:uri="urn:schemas-microsoft-com:office:smarttags" w:element="stockticker">
        <w:r w:rsidRPr="009A6FC4">
          <w:rPr>
            <w:rFonts w:ascii="Garamond" w:hAnsi="Garamond"/>
            <w:sz w:val="24"/>
            <w:szCs w:val="24"/>
          </w:rPr>
          <w:t>III</w:t>
        </w:r>
      </w:smartTag>
      <w:r w:rsidRPr="009A6FC4">
        <w:rPr>
          <w:rFonts w:ascii="Garamond" w:hAnsi="Garamond"/>
          <w:sz w:val="24"/>
          <w:szCs w:val="24"/>
        </w:rPr>
        <w:t>. Në Akademinë e Arteve: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1. Në degën Regji Filmi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80 000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2. Në degët e tjera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30 000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 xml:space="preserve">IV. Në Akademinë e Edukimit Fizik 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dhe Sporteve “Vojo Kushi”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20 000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V. Në Universitetin Bujqësor: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1. Në degën Drejtim Fermash dhe Agrobiznes</w:t>
      </w:r>
      <w:r w:rsidRPr="009A6FC4">
        <w:rPr>
          <w:rFonts w:ascii="Garamond" w:hAnsi="Garamond"/>
          <w:sz w:val="24"/>
          <w:szCs w:val="24"/>
        </w:rPr>
        <w:tab/>
        <w:t>20 000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2. Në degën Ekonomi dhe Politikë Agrare</w:t>
      </w:r>
      <w:r w:rsidRPr="009A6FC4">
        <w:rPr>
          <w:rFonts w:ascii="Garamond" w:hAnsi="Garamond"/>
          <w:sz w:val="24"/>
          <w:szCs w:val="24"/>
        </w:rPr>
        <w:tab/>
        <w:t>20 000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3. Në degën Inxhinieri Pyjesh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20 000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4. Në degën Inxhinieri e Përpunimit të Drurit</w:t>
      </w:r>
      <w:r w:rsidRPr="009A6FC4">
        <w:rPr>
          <w:rFonts w:ascii="Garamond" w:hAnsi="Garamond"/>
          <w:sz w:val="24"/>
          <w:szCs w:val="24"/>
        </w:rPr>
        <w:tab/>
        <w:t>20 000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5. Në degën Veterinari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20 000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6. Në degët e tjera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15 000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VI. Në Universitetin e Elbasanit: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1. Në degën Gjuhë-Letërsi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15 000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2. Në degën Gazetari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15 000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3. Në degën Punë Sociale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15 000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4. Në degën Psikologji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15 000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5. Në degët e tjera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12 000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smartTag w:uri="urn:schemas-microsoft-com:office:smarttags" w:element="stockticker">
        <w:r w:rsidRPr="009A6FC4">
          <w:rPr>
            <w:rFonts w:ascii="Garamond" w:hAnsi="Garamond"/>
            <w:sz w:val="24"/>
            <w:szCs w:val="24"/>
          </w:rPr>
          <w:t>VII</w:t>
        </w:r>
      </w:smartTag>
      <w:r w:rsidRPr="009A6FC4">
        <w:rPr>
          <w:rFonts w:ascii="Garamond" w:hAnsi="Garamond"/>
          <w:sz w:val="24"/>
          <w:szCs w:val="24"/>
        </w:rPr>
        <w:t>. Në Universitetin e Gjirokastrës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1. Në të gjitha degët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12 000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VIII. Në Universitetin e Korçës: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1. Në të gjitha degët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12 000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IX. Në Universitetin e Shkodrës: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1. Në degën Drejtësi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16 000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2. Në të gjitha degët e tjera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12 000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X. Në Universitetin e Vlorës: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1. Në degën Drejtësi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20 000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2. Në degën Gjuhë-Letërsi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15 000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lastRenderedPageBreak/>
        <w:t>3. Në degën Pedagogji e Specializuar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15 000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4. Në të gjitha degët e tjera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12 000 lekë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XI. Në Universitetin e Durrësit: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1. Në të gjitha degët</w:t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</w:r>
      <w:r w:rsidRPr="009A6FC4">
        <w:rPr>
          <w:rFonts w:ascii="Garamond" w:hAnsi="Garamond"/>
          <w:sz w:val="24"/>
          <w:szCs w:val="24"/>
        </w:rPr>
        <w:tab/>
        <w:t>15 000 lekë.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10. Tarifa vjetore e shkollimit për studentët e viteve të tjera më të larta të jetë 12 000 lekë.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11. Studenti i nënshtrohet vetëm një tarife shkollimi, e cila duhet të jetë tarifë shkollimi me kuotë kryesore apo dytësore. Studentët përsëritës i nënshtrohen së njëjtës tarifë shkollimi, me të cilën kanë filluar studimet.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12. Në çdo degë, 5 (pesë) studentë, të vitit të parë, me rezultatet më të larta nga mesatarja e shkollës së mesme dhe provimet e maturës shtetërore, për vitin akademik 2006-2007, nuk do të paguajnë tarifë shkollimi.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13. Studentët, që kërkojnë të transferojnë studimet nga arsimi i lartë jopublik në arsimin e lartë publik, brenda sistemit tonë të arsimit të lartë, si edhe ata nga jashtë Republikës së Shqipërisë, me përjashtim të atyre që parashikohen me marrëveshje zyrtare shtetërore, i nënshtrohen tarifës së veçantë të shkollimit me kuotë dytësore.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14. Mënyra e plotësimit të kuotave të parealizuara, të përcaktuara në pikën 1 të këtij vendimi, përcaktohet nga Ministria e Arsimit dhe Shkencës, në bashkëpunim me shkollat e larta dhe universitetet.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15. Ngarkohet Ministria e Arsimit dhe Shkencës për zbatimin e këtij vendimi.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Ky vendim hyn në fuqi pas botimit në Fletoren Zyrtare.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</w:p>
    <w:p w:rsidR="00CE1286" w:rsidRPr="009A6FC4" w:rsidRDefault="00CE1286" w:rsidP="00CE1286">
      <w:pPr>
        <w:pStyle w:val="Autoriteti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Kryeministri</w:t>
      </w:r>
    </w:p>
    <w:p w:rsidR="00CE1286" w:rsidRPr="009A6FC4" w:rsidRDefault="00CE1286" w:rsidP="00CE1286">
      <w:pPr>
        <w:pStyle w:val="AutoritetiEmer"/>
        <w:rPr>
          <w:rFonts w:ascii="Garamond" w:hAnsi="Garamond"/>
          <w:sz w:val="24"/>
          <w:szCs w:val="24"/>
        </w:rPr>
      </w:pPr>
      <w:r w:rsidRPr="009A6FC4">
        <w:rPr>
          <w:rFonts w:ascii="Garamond" w:hAnsi="Garamond"/>
          <w:sz w:val="24"/>
          <w:szCs w:val="24"/>
        </w:rPr>
        <w:t>Sali Berisha</w:t>
      </w:r>
    </w:p>
    <w:p w:rsidR="00CE1286" w:rsidRPr="009A6FC4" w:rsidRDefault="00CE1286" w:rsidP="00CE1286">
      <w:pPr>
        <w:pStyle w:val="Paragrafi"/>
        <w:rPr>
          <w:rFonts w:ascii="Garamond" w:hAnsi="Garamond"/>
          <w:sz w:val="24"/>
          <w:szCs w:val="24"/>
        </w:rPr>
      </w:pPr>
    </w:p>
    <w:p w:rsidR="00CE1286" w:rsidRDefault="00CE1286" w:rsidP="00CE1286">
      <w:pPr>
        <w:pStyle w:val="Paragrafi"/>
        <w:sectPr w:rsidR="00CE1286" w:rsidSect="00CE1286">
          <w:footerReference w:type="even" r:id="rId6"/>
          <w:footerReference w:type="default" r:id="rId7"/>
          <w:pgSz w:w="11907" w:h="16840" w:code="9"/>
          <w:pgMar w:top="1418" w:right="1418" w:bottom="1418" w:left="1418" w:header="1304" w:footer="1134" w:gutter="0"/>
          <w:pgNumType w:start="1077"/>
          <w:cols w:space="720"/>
          <w:docGrid w:linePitch="360"/>
        </w:sectPr>
      </w:pPr>
    </w:p>
    <w:p w:rsidR="00661DFD" w:rsidRDefault="00661DFD" w:rsidP="00CE1286">
      <w:pPr>
        <w:pStyle w:val="Paragrafi"/>
        <w:jc w:val="center"/>
        <w:rPr>
          <w:sz w:val="20"/>
        </w:rPr>
      </w:pPr>
    </w:p>
    <w:p w:rsidR="00661DFD" w:rsidRDefault="00661DFD" w:rsidP="00CE1286">
      <w:pPr>
        <w:pStyle w:val="Paragrafi"/>
        <w:jc w:val="center"/>
        <w:rPr>
          <w:sz w:val="20"/>
        </w:rPr>
      </w:pPr>
    </w:p>
    <w:p w:rsidR="00661DFD" w:rsidRDefault="00661DFD" w:rsidP="00CE1286">
      <w:pPr>
        <w:pStyle w:val="Paragrafi"/>
        <w:jc w:val="center"/>
        <w:rPr>
          <w:sz w:val="20"/>
        </w:rPr>
      </w:pPr>
    </w:p>
    <w:p w:rsidR="00661DFD" w:rsidRDefault="00661DFD" w:rsidP="00661DFD">
      <w:pPr>
        <w:pStyle w:val="Paragrafi"/>
        <w:jc w:val="right"/>
        <w:rPr>
          <w:sz w:val="20"/>
        </w:rPr>
      </w:pPr>
      <w:r>
        <w:rPr>
          <w:sz w:val="20"/>
        </w:rPr>
        <w:t>Tabela 1</w:t>
      </w:r>
    </w:p>
    <w:p w:rsidR="00661DFD" w:rsidRDefault="00661DFD" w:rsidP="00661DFD">
      <w:pPr>
        <w:pStyle w:val="TitulliTitull"/>
        <w:rPr>
          <w:lang w:val="de-DE"/>
        </w:rPr>
      </w:pPr>
      <w:r w:rsidRPr="005D5857">
        <w:rPr>
          <w:lang w:val="de-DE"/>
        </w:rPr>
        <w:t>Kuotat kryesore të pranimeve të reja për vitin akademik 2006-2007</w:t>
      </w:r>
    </w:p>
    <w:p w:rsidR="00A22F60" w:rsidRPr="009A6FC4" w:rsidRDefault="00A22F60" w:rsidP="00A22F60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A6FC4">
        <w:rPr>
          <w:rFonts w:ascii="Garamond" w:hAnsi="Garamond"/>
          <w:i/>
          <w:sz w:val="24"/>
          <w:szCs w:val="24"/>
        </w:rPr>
        <w:t>(Ndryshuar me VKM nr. 567, datë 23.8.2006)</w:t>
      </w:r>
    </w:p>
    <w:p w:rsidR="00A22F60" w:rsidRPr="005D5857" w:rsidRDefault="00A22F60" w:rsidP="00661DFD">
      <w:pPr>
        <w:pStyle w:val="TitulliTitull"/>
        <w:rPr>
          <w:lang w:val="de-DE"/>
        </w:rPr>
      </w:pPr>
    </w:p>
    <w:p w:rsidR="00661DFD" w:rsidRPr="005D5857" w:rsidRDefault="00661DFD" w:rsidP="00661DFD">
      <w:pPr>
        <w:pStyle w:val="Paragrafi"/>
        <w:rPr>
          <w:lang w:val="de-DE"/>
        </w:rPr>
      </w:pPr>
    </w:p>
    <w:tbl>
      <w:tblPr>
        <w:tblW w:w="14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"/>
        <w:gridCol w:w="1940"/>
        <w:gridCol w:w="985"/>
        <w:gridCol w:w="983"/>
        <w:gridCol w:w="983"/>
        <w:gridCol w:w="976"/>
        <w:gridCol w:w="981"/>
        <w:gridCol w:w="975"/>
        <w:gridCol w:w="983"/>
        <w:gridCol w:w="976"/>
        <w:gridCol w:w="976"/>
        <w:gridCol w:w="989"/>
        <w:gridCol w:w="976"/>
        <w:gridCol w:w="983"/>
      </w:tblGrid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Nr.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Dega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UT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UPT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UBT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UE</w:t>
            </w: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</w:pPr>
            <w:r w:rsidRPr="00573868">
              <w:t>UGJ</w:t>
            </w: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</w:pPr>
            <w:smartTag w:uri="urn:schemas-microsoft-com:office:smarttags" w:element="country-region">
              <w:smartTag w:uri="urn:schemas-microsoft-com:office:smarttags" w:element="place">
                <w:r w:rsidRPr="00573868">
                  <w:t>UK</w:t>
                </w:r>
              </w:smartTag>
            </w:smartTag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USH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UV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AA</w:t>
            </w: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</w:pPr>
            <w:r w:rsidRPr="00573868">
              <w:t>AEFS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UD</w:t>
            </w:r>
          </w:p>
        </w:tc>
        <w:tc>
          <w:tcPr>
            <w:tcW w:w="983" w:type="dxa"/>
          </w:tcPr>
          <w:p w:rsidR="00661DFD" w:rsidRPr="00703C25" w:rsidRDefault="00661DFD" w:rsidP="001130D3">
            <w:pPr>
              <w:pStyle w:val="Tabele"/>
            </w:pPr>
            <w:r w:rsidRPr="00703C25">
              <w:rPr>
                <w:rFonts w:ascii="Times New Roman" w:hAnsi="Times New Roman"/>
              </w:rPr>
              <w:t>Σ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1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Histori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117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117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2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Gjeografi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118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118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3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Histori-gjeografi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4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Gjuhë-letërsi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116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138</w:t>
            </w: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241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250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745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5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Edukim Qytetar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6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Anglisht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195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88</w:t>
            </w: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80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363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7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Frëngjisht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8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Italisht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9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Gjuhë Sllave Ballkanike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10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Gjermanisht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11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Gjuhë Letërsi Greke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12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Gjuhë turke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13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Cikli i Ulët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165</w:t>
            </w: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165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14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Cikli i Ulët Parashkollor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15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Fizkulturë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</w:pPr>
            <w:r w:rsidRPr="00573868">
              <w:t>125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125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16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Matematikë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17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Fizikë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18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Matematikë-Fizikë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19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Biologji-Kimi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116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116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20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Kimi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21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Kimi Teknologjike dhe ushqimore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22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Kimi Industriale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lastRenderedPageBreak/>
              <w:t>23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Matenatikë-Informatikë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24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Informatikë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66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66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25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Teknologji Informacioni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Nr.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Dega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UT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UPT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UBT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UE</w:t>
            </w: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</w:pPr>
            <w:r w:rsidRPr="00573868">
              <w:t>UGJ</w:t>
            </w: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</w:pPr>
            <w:smartTag w:uri="urn:schemas-microsoft-com:office:smarttags" w:element="country-region">
              <w:smartTag w:uri="urn:schemas-microsoft-com:office:smarttags" w:element="place">
                <w:r w:rsidRPr="00573868">
                  <w:t>UK</w:t>
                </w:r>
              </w:smartTag>
            </w:smartTag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USH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UV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AA</w:t>
            </w: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</w:pPr>
            <w:r w:rsidRPr="00573868">
              <w:t>AEFS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UD</w:t>
            </w:r>
          </w:p>
        </w:tc>
        <w:tc>
          <w:tcPr>
            <w:tcW w:w="983" w:type="dxa"/>
          </w:tcPr>
          <w:p w:rsidR="00661DFD" w:rsidRPr="007D353B" w:rsidRDefault="00661DFD" w:rsidP="001130D3">
            <w:pPr>
              <w:pStyle w:val="Tabele"/>
            </w:pPr>
            <w:r w:rsidRPr="007D353B">
              <w:rPr>
                <w:rFonts w:ascii="Times New Roman" w:hAnsi="Times New Roman"/>
              </w:rPr>
              <w:t>Σ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26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Gazetari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88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78</w:t>
            </w: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166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27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Punë Sociale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126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107</w:t>
            </w: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150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383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28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Filozofi-Sociologji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126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126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29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Pedagogji e Specializuar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25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25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30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Psikologji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126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120</w:t>
            </w: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133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379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31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Shkencat Politike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126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126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32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Drejtësi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356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254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220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830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33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Regji filmi dhe TV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10</w:t>
            </w: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10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34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Art Skenik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68</w:t>
            </w: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68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35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Arte Figurative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76</w:t>
            </w: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76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36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Muzikë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103</w:t>
            </w: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103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37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Mjekësi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226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226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38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Stomatologji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71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71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39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Farmaci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71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71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40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Infermieri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411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411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41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Administrim Publik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80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80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42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Administrim-Biznes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465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465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43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Ekonomik</w:t>
            </w:r>
            <w:r>
              <w:t>s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91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91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44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Financë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466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466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45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Info.Ekonomike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66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66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46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Turizëm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80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80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47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Marketing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48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Inxh.Detare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49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Navigacion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50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Mekanikë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lastRenderedPageBreak/>
              <w:t>51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Inxh.Materiale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52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Tekstil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53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Elektrik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100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100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54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Elektronik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139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139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Nr.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Dega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UT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UPT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UBT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UE</w:t>
            </w: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</w:pPr>
            <w:r w:rsidRPr="00573868">
              <w:t>UGJ</w:t>
            </w: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</w:pPr>
            <w:r w:rsidRPr="00573868">
              <w:t>UK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USH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UV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AA</w:t>
            </w: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</w:pPr>
            <w:r w:rsidRPr="00573868">
              <w:t>AEFS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UD</w:t>
            </w:r>
          </w:p>
        </w:tc>
        <w:tc>
          <w:tcPr>
            <w:tcW w:w="983" w:type="dxa"/>
          </w:tcPr>
          <w:p w:rsidR="00661DFD" w:rsidRPr="007D353B" w:rsidRDefault="00661DFD" w:rsidP="001130D3">
            <w:pPr>
              <w:pStyle w:val="Tabele"/>
            </w:pPr>
            <w:r w:rsidRPr="007D353B">
              <w:rPr>
                <w:rFonts w:ascii="Times New Roman" w:hAnsi="Times New Roman"/>
              </w:rPr>
              <w:t>Σ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55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Ndërtim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228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228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56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Arkitekturë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109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109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57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Inxh.Matematike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58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Inxh.Fizike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59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Inxhinier Gjeodet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60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Inxhinieri Ambienti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61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Inxh. Në shkencat e tokës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62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Gjeoinformatikë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63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Inxhinieri i gjeoburimeve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198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198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64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Drejtim fermash dhe AGB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198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</w:pPr>
            <w:r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198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65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Ekonomi dhe P.Agrare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198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198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66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Inxh.Agr.në Hortikulturë dhe MB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67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Inxh. Agr në P.Bimor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</w:pPr>
            <w:r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68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Inxh.Agrar në Zootek dhe B.Blek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69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Akuakulturë dhe M.Peshkimi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70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Inxh.Agromjedisi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71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Tek Agroushqimore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72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Agr.Agroushqimor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lastRenderedPageBreak/>
              <w:t>73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>
              <w:t>Vreshtari dhe en</w:t>
            </w:r>
            <w:r w:rsidRPr="00573868">
              <w:t>ologji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74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Inxh pyjesh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118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118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Nr.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Dega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UT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UPT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UBT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UE</w:t>
            </w: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</w:pPr>
            <w:r w:rsidRPr="00573868">
              <w:t>UGJ</w:t>
            </w: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</w:pPr>
            <w:r w:rsidRPr="00573868">
              <w:t>UK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USH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UV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AA</w:t>
            </w: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</w:pPr>
            <w:r w:rsidRPr="00573868">
              <w:t>AEFS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UD</w:t>
            </w:r>
          </w:p>
        </w:tc>
        <w:tc>
          <w:tcPr>
            <w:tcW w:w="983" w:type="dxa"/>
          </w:tcPr>
          <w:p w:rsidR="00661DFD" w:rsidRPr="007D353B" w:rsidRDefault="00661DFD" w:rsidP="001130D3">
            <w:pPr>
              <w:pStyle w:val="Tabele"/>
            </w:pPr>
            <w:r w:rsidRPr="007D353B">
              <w:rPr>
                <w:rFonts w:ascii="Times New Roman" w:hAnsi="Times New Roman"/>
              </w:rPr>
              <w:t>Σ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75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Inxh.P.Druri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79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79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76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SHL Jouniversitare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160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160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</w:pPr>
            <w:r w:rsidRPr="00573868">
              <w:t>77</w:t>
            </w: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Veterinari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128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128</w:t>
            </w:r>
          </w:p>
        </w:tc>
      </w:tr>
      <w:tr w:rsidR="00661DFD" w:rsidRPr="00573868" w:rsidTr="001130D3">
        <w:tc>
          <w:tcPr>
            <w:tcW w:w="750" w:type="dxa"/>
          </w:tcPr>
          <w:p w:rsidR="00661DFD" w:rsidRPr="00573868" w:rsidRDefault="00661DFD" w:rsidP="001130D3">
            <w:pPr>
              <w:pStyle w:val="Tabele"/>
              <w:rPr>
                <w:szCs w:val="22"/>
              </w:rPr>
            </w:pPr>
          </w:p>
        </w:tc>
        <w:tc>
          <w:tcPr>
            <w:tcW w:w="1940" w:type="dxa"/>
          </w:tcPr>
          <w:p w:rsidR="00661DFD" w:rsidRPr="00573868" w:rsidRDefault="00661DFD" w:rsidP="001130D3">
            <w:pPr>
              <w:pStyle w:val="Tabele"/>
            </w:pPr>
            <w:r w:rsidRPr="00573868">
              <w:t>Gjithsej</w:t>
            </w:r>
          </w:p>
          <w:p w:rsidR="00661DFD" w:rsidRPr="00573868" w:rsidRDefault="00661DFD" w:rsidP="001130D3">
            <w:pPr>
              <w:pStyle w:val="Tabele"/>
            </w:pPr>
            <w:r w:rsidRPr="00573868">
              <w:t>(për degët me numër të mbyllur)</w:t>
            </w:r>
          </w:p>
        </w:tc>
        <w:tc>
          <w:tcPr>
            <w:tcW w:w="985" w:type="dxa"/>
          </w:tcPr>
          <w:p w:rsidR="00661DFD" w:rsidRPr="00573868" w:rsidRDefault="00661DFD" w:rsidP="001130D3">
            <w:pPr>
              <w:pStyle w:val="Tabele"/>
            </w:pPr>
            <w:r w:rsidRPr="00573868">
              <w:t>3543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576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721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696</w:t>
            </w:r>
          </w:p>
        </w:tc>
        <w:tc>
          <w:tcPr>
            <w:tcW w:w="981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75" w:type="dxa"/>
          </w:tcPr>
          <w:p w:rsidR="00661DFD" w:rsidRPr="00573868" w:rsidRDefault="00661DFD" w:rsidP="001130D3">
            <w:pPr>
              <w:pStyle w:val="Tabele"/>
            </w:pPr>
            <w:r w:rsidRPr="00573868">
              <w:t>H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778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495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257</w:t>
            </w:r>
          </w:p>
        </w:tc>
        <w:tc>
          <w:tcPr>
            <w:tcW w:w="989" w:type="dxa"/>
          </w:tcPr>
          <w:p w:rsidR="00661DFD" w:rsidRPr="00573868" w:rsidRDefault="00661DFD" w:rsidP="001130D3">
            <w:pPr>
              <w:pStyle w:val="Tabele"/>
            </w:pPr>
            <w:r w:rsidRPr="00573868">
              <w:t>125</w:t>
            </w:r>
          </w:p>
        </w:tc>
        <w:tc>
          <w:tcPr>
            <w:tcW w:w="976" w:type="dxa"/>
          </w:tcPr>
          <w:p w:rsidR="00661DFD" w:rsidRPr="00573868" w:rsidRDefault="00661DFD" w:rsidP="001130D3">
            <w:pPr>
              <w:pStyle w:val="Tabele"/>
            </w:pPr>
            <w:r w:rsidRPr="00573868">
              <w:t>400</w:t>
            </w:r>
          </w:p>
        </w:tc>
        <w:tc>
          <w:tcPr>
            <w:tcW w:w="983" w:type="dxa"/>
          </w:tcPr>
          <w:p w:rsidR="00661DFD" w:rsidRPr="00573868" w:rsidRDefault="00661DFD" w:rsidP="001130D3">
            <w:pPr>
              <w:pStyle w:val="Tabele"/>
            </w:pPr>
            <w:r w:rsidRPr="00573868">
              <w:t>7591</w:t>
            </w:r>
          </w:p>
        </w:tc>
      </w:tr>
    </w:tbl>
    <w:p w:rsidR="00661DFD" w:rsidRDefault="00661DFD" w:rsidP="00661DFD">
      <w:pPr>
        <w:pStyle w:val="Paragrafi"/>
      </w:pPr>
    </w:p>
    <w:p w:rsidR="00661DFD" w:rsidRPr="00573868" w:rsidRDefault="00661DFD" w:rsidP="00661DFD">
      <w:pPr>
        <w:pStyle w:val="Paragrafi"/>
      </w:pPr>
      <w:r w:rsidRPr="00573868">
        <w:t>H = degë me numër të hapur ose pa limit;</w:t>
      </w:r>
    </w:p>
    <w:p w:rsidR="00661DFD" w:rsidRPr="00573868" w:rsidRDefault="00661DFD" w:rsidP="00661DFD">
      <w:pPr>
        <w:pStyle w:val="Paragrafi"/>
      </w:pPr>
      <w:r w:rsidRPr="00573868">
        <w:t>Kuadratet bosh tregojnë që dega nuk ekziston në universitetin që jepet në kolonën përkatëse.</w:t>
      </w:r>
    </w:p>
    <w:p w:rsidR="00661DFD" w:rsidRPr="00573868" w:rsidRDefault="00661DFD" w:rsidP="00661DFD">
      <w:pPr>
        <w:pStyle w:val="Paragrafi"/>
      </w:pPr>
      <w:r w:rsidRPr="00573868">
        <w:t>UT = Universiteti i Tiranës; UPT=Universiteti Politeknik i Tiranës; UBT=Universiteti Bujqësor i Tiranës; UE=Universiteti “</w:t>
      </w:r>
      <w:proofErr w:type="gramStart"/>
      <w:r w:rsidRPr="00573868">
        <w:t>A.Xhuvani</w:t>
      </w:r>
      <w:proofErr w:type="gramEnd"/>
      <w:r w:rsidRPr="00573868">
        <w:t xml:space="preserve">” i Elbasanit; UGJ=Universiteti “E.Çabej”Gjirokastër; </w:t>
      </w:r>
      <w:smartTag w:uri="urn:schemas-microsoft-com:office:smarttags" w:element="country-region">
        <w:smartTag w:uri="urn:schemas-microsoft-com:office:smarttags" w:element="place">
          <w:r w:rsidRPr="00573868">
            <w:t>UK</w:t>
          </w:r>
        </w:smartTag>
      </w:smartTag>
      <w:r w:rsidRPr="00573868">
        <w:t>=Universiteti i Korçës; USH=Universiteti “L.Gurakuqi” Shkodër; UV=Universiteti Teknologjik “I.Qemali” Vlorë; AA=Akademia e Arteve Tiranë; AEFS=Akademia e Edukimit Fizik dhe Sporteve, Tiranë; UD=Universiteti “Aleksandër Moisiu” Durrës.</w:t>
      </w:r>
    </w:p>
    <w:p w:rsidR="00661DFD" w:rsidRPr="00573868" w:rsidRDefault="00661DFD" w:rsidP="00661DFD">
      <w:pPr>
        <w:pStyle w:val="Akti"/>
        <w:keepNext w:val="0"/>
      </w:pPr>
    </w:p>
    <w:p w:rsidR="00661DFD" w:rsidRPr="00573868" w:rsidRDefault="00661DFD" w:rsidP="00661DFD">
      <w:pPr>
        <w:pStyle w:val="Akti"/>
        <w:keepNext w:val="0"/>
      </w:pPr>
    </w:p>
    <w:p w:rsidR="00661DFD" w:rsidRPr="00573868" w:rsidRDefault="00661DFD" w:rsidP="00661DFD">
      <w:pPr>
        <w:pStyle w:val="Akti"/>
        <w:keepNext w:val="0"/>
      </w:pPr>
    </w:p>
    <w:p w:rsidR="00661DFD" w:rsidRPr="00573868" w:rsidRDefault="00661DFD" w:rsidP="00661DFD">
      <w:pPr>
        <w:pStyle w:val="Akti"/>
        <w:keepNext w:val="0"/>
      </w:pPr>
    </w:p>
    <w:p w:rsidR="00661DFD" w:rsidRPr="00573868" w:rsidRDefault="00661DFD" w:rsidP="00661DFD">
      <w:pPr>
        <w:pStyle w:val="Akti"/>
        <w:keepNext w:val="0"/>
      </w:pPr>
    </w:p>
    <w:p w:rsidR="00661DFD" w:rsidRPr="00573868" w:rsidRDefault="00661DFD" w:rsidP="00661DFD">
      <w:pPr>
        <w:pStyle w:val="Akti"/>
        <w:keepNext w:val="0"/>
      </w:pPr>
    </w:p>
    <w:p w:rsidR="00661DFD" w:rsidRPr="00573868" w:rsidRDefault="00661DFD" w:rsidP="00661DFD">
      <w:pPr>
        <w:pStyle w:val="Akti"/>
        <w:keepNext w:val="0"/>
      </w:pPr>
    </w:p>
    <w:p w:rsidR="00661DFD" w:rsidRPr="00573868" w:rsidRDefault="00661DFD" w:rsidP="00661DFD">
      <w:pPr>
        <w:pStyle w:val="Akti"/>
        <w:keepNext w:val="0"/>
      </w:pPr>
    </w:p>
    <w:p w:rsidR="00661DFD" w:rsidRPr="00573868" w:rsidRDefault="00661DFD" w:rsidP="00661DFD">
      <w:pPr>
        <w:pStyle w:val="Akti"/>
        <w:keepNext w:val="0"/>
      </w:pPr>
    </w:p>
    <w:p w:rsidR="00661DFD" w:rsidRPr="00573868" w:rsidRDefault="00661DFD" w:rsidP="00661DFD">
      <w:pPr>
        <w:pStyle w:val="Akti"/>
        <w:keepNext w:val="0"/>
      </w:pPr>
    </w:p>
    <w:p w:rsidR="00661DFD" w:rsidRPr="00573868" w:rsidRDefault="00661DFD" w:rsidP="00661DFD">
      <w:pPr>
        <w:pStyle w:val="Akti"/>
        <w:keepNext w:val="0"/>
      </w:pPr>
    </w:p>
    <w:p w:rsidR="00661DFD" w:rsidRPr="00573868" w:rsidRDefault="00661DFD" w:rsidP="00661DFD">
      <w:pPr>
        <w:pStyle w:val="Akti"/>
        <w:keepNext w:val="0"/>
        <w:jc w:val="left"/>
        <w:sectPr w:rsidR="00661DFD" w:rsidRPr="00573868" w:rsidSect="005D5857">
          <w:pgSz w:w="16840" w:h="11907" w:orient="landscape" w:code="9"/>
          <w:pgMar w:top="1418" w:right="1418" w:bottom="1418" w:left="1418" w:header="1304" w:footer="1134" w:gutter="0"/>
          <w:pgNumType w:start="3946"/>
          <w:cols w:space="720"/>
          <w:docGrid w:linePitch="360"/>
        </w:sectPr>
      </w:pPr>
    </w:p>
    <w:p w:rsidR="00661DFD" w:rsidRDefault="00661DFD" w:rsidP="00661DFD">
      <w:pPr>
        <w:pStyle w:val="Paragrafi"/>
        <w:ind w:firstLine="0"/>
        <w:rPr>
          <w:sz w:val="20"/>
        </w:rPr>
      </w:pPr>
    </w:p>
    <w:p w:rsidR="00661DFD" w:rsidRDefault="00661DFD" w:rsidP="00CE1286">
      <w:pPr>
        <w:pStyle w:val="Paragrafi"/>
        <w:jc w:val="center"/>
        <w:rPr>
          <w:sz w:val="20"/>
        </w:rPr>
      </w:pPr>
    </w:p>
    <w:p w:rsidR="00661DFD" w:rsidRDefault="00661DFD" w:rsidP="00CE1286">
      <w:pPr>
        <w:pStyle w:val="Paragrafi"/>
        <w:jc w:val="center"/>
        <w:rPr>
          <w:sz w:val="20"/>
        </w:rPr>
      </w:pPr>
    </w:p>
    <w:p w:rsidR="00CE1286" w:rsidRDefault="00CE1286" w:rsidP="00661DFD">
      <w:pPr>
        <w:pStyle w:val="Paragrafi"/>
        <w:jc w:val="center"/>
        <w:rPr>
          <w:sz w:val="20"/>
        </w:rPr>
      </w:pPr>
      <w:r>
        <w:rPr>
          <w:sz w:val="20"/>
        </w:rPr>
        <w:t xml:space="preserve">                                   </w:t>
      </w:r>
      <w:r w:rsidRPr="00CD51A7">
        <w:rPr>
          <w:sz w:val="20"/>
        </w:rPr>
        <w:t>KUOTAT DYTËSORE TË PRANIMEVE TË REJA PËR VITIN AKADEMIK 2006-2007</w:t>
      </w:r>
      <w:r>
        <w:rPr>
          <w:sz w:val="20"/>
        </w:rPr>
        <w:t xml:space="preserve">                                              Tabela Nr.2</w:t>
      </w:r>
    </w:p>
    <w:p w:rsidR="00A22F60" w:rsidRPr="00661DFD" w:rsidRDefault="00A22F60" w:rsidP="00661DFD">
      <w:pPr>
        <w:pStyle w:val="Paragrafi"/>
        <w:jc w:val="center"/>
        <w:rPr>
          <w:sz w:val="20"/>
        </w:rPr>
      </w:pPr>
    </w:p>
    <w:p w:rsidR="00A22F60" w:rsidRPr="009A6FC4" w:rsidRDefault="00BE0EFE" w:rsidP="00A22F60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(Shfuqizuar</w:t>
      </w:r>
      <w:bookmarkStart w:id="0" w:name="_GoBack"/>
      <w:bookmarkEnd w:id="0"/>
      <w:r w:rsidR="00A22F60" w:rsidRPr="009A6FC4">
        <w:rPr>
          <w:rFonts w:ascii="Garamond" w:hAnsi="Garamond"/>
          <w:i/>
          <w:sz w:val="24"/>
          <w:szCs w:val="24"/>
        </w:rPr>
        <w:t xml:space="preserve"> me VKM nr. 567, datë 23.8.2006)</w:t>
      </w:r>
    </w:p>
    <w:p w:rsidR="00CE1286" w:rsidRPr="00EC708C" w:rsidRDefault="00CE1286" w:rsidP="00CE1286">
      <w:pPr>
        <w:pStyle w:val="Paragrafi"/>
      </w:pPr>
    </w:p>
    <w:p w:rsidR="00CE1286" w:rsidRPr="00EC708C" w:rsidRDefault="00CE1286" w:rsidP="00CE1286">
      <w:pPr>
        <w:pStyle w:val="Paragrafi"/>
      </w:pPr>
    </w:p>
    <w:p w:rsidR="00CE1286" w:rsidRDefault="00CE1286" w:rsidP="00CE1286">
      <w:pPr>
        <w:pStyle w:val="Paragrafi"/>
      </w:pPr>
    </w:p>
    <w:p w:rsidR="00CE1286" w:rsidRDefault="00CE1286" w:rsidP="00CE1286">
      <w:pPr>
        <w:pStyle w:val="Paragrafi"/>
      </w:pPr>
    </w:p>
    <w:p w:rsidR="00CE1286" w:rsidRDefault="00CE1286" w:rsidP="00CE1286">
      <w:pPr>
        <w:pStyle w:val="Paragrafi"/>
      </w:pPr>
    </w:p>
    <w:p w:rsidR="00CE1286" w:rsidRDefault="00CE1286" w:rsidP="00CE1286">
      <w:pPr>
        <w:pStyle w:val="Paragrafi"/>
      </w:pPr>
    </w:p>
    <w:p w:rsidR="00CE1286" w:rsidRDefault="00CE1286" w:rsidP="00CE1286">
      <w:pPr>
        <w:pStyle w:val="Paragrafi"/>
      </w:pPr>
    </w:p>
    <w:p w:rsidR="00CE1286" w:rsidRDefault="00CE1286" w:rsidP="00CE1286">
      <w:pPr>
        <w:pStyle w:val="Paragrafi"/>
      </w:pPr>
    </w:p>
    <w:p w:rsidR="00CE1286" w:rsidRDefault="00CE1286" w:rsidP="00CE1286">
      <w:pPr>
        <w:pStyle w:val="Paragrafi"/>
      </w:pPr>
    </w:p>
    <w:p w:rsidR="00CE1286" w:rsidRDefault="00CE1286" w:rsidP="00CE1286">
      <w:pPr>
        <w:pStyle w:val="Paragrafi"/>
      </w:pPr>
    </w:p>
    <w:p w:rsidR="00CE1286" w:rsidRDefault="00CE1286" w:rsidP="00CE1286">
      <w:pPr>
        <w:pStyle w:val="Paragrafi"/>
        <w:ind w:left="2160"/>
        <w:jc w:val="center"/>
        <w:rPr>
          <w:sz w:val="20"/>
        </w:rPr>
      </w:pPr>
      <w:r w:rsidRPr="00CD51A7">
        <w:rPr>
          <w:sz w:val="20"/>
        </w:rPr>
        <w:t xml:space="preserve">KUOTAT </w:t>
      </w:r>
      <w:r>
        <w:rPr>
          <w:sz w:val="20"/>
        </w:rPr>
        <w:t xml:space="preserve">PËR KANDIDATËT NGA TROJET </w:t>
      </w:r>
      <w:r w:rsidRPr="00CD51A7">
        <w:rPr>
          <w:sz w:val="20"/>
        </w:rPr>
        <w:t>PËR VITIN AKADEMIK 2006-2007</w:t>
      </w:r>
      <w:r>
        <w:rPr>
          <w:sz w:val="20"/>
        </w:rPr>
        <w:t xml:space="preserve">                                          Tabela Nr.3</w:t>
      </w:r>
    </w:p>
    <w:p w:rsidR="00CE1286" w:rsidRDefault="00CE1286" w:rsidP="00CE1286">
      <w:pPr>
        <w:pStyle w:val="Paragrafi"/>
        <w:jc w:val="center"/>
        <w:rPr>
          <w:sz w:val="20"/>
        </w:rPr>
      </w:pPr>
    </w:p>
    <w:p w:rsidR="00CE1286" w:rsidRPr="00EC708C" w:rsidRDefault="00C41D0F" w:rsidP="00CE1286">
      <w:pPr>
        <w:pStyle w:val="Paragrafi"/>
        <w:jc w:val="center"/>
        <w:rPr>
          <w:sz w:val="20"/>
        </w:rPr>
      </w:pPr>
      <w:r w:rsidRPr="00EC708C">
        <w:rPr>
          <w:noProof/>
          <w:lang w:val="sq-AL" w:eastAsia="sq-AL"/>
        </w:rPr>
        <w:lastRenderedPageBreak/>
        <w:drawing>
          <wp:inline distT="0" distB="0" distL="0" distR="0">
            <wp:extent cx="8343900" cy="53244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0" cy="532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1286" w:rsidRDefault="00C41D0F" w:rsidP="00CE1286">
      <w:pPr>
        <w:pStyle w:val="Paragrafi"/>
        <w:jc w:val="center"/>
        <w:rPr>
          <w:sz w:val="20"/>
        </w:rPr>
      </w:pPr>
      <w:r w:rsidRPr="00EC708C">
        <w:rPr>
          <w:noProof/>
          <w:lang w:val="sq-AL" w:eastAsia="sq-AL"/>
        </w:rPr>
        <w:lastRenderedPageBreak/>
        <w:drawing>
          <wp:inline distT="0" distB="0" distL="0" distR="0">
            <wp:extent cx="8467725" cy="39528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772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1286" w:rsidRPr="00804865" w:rsidRDefault="00CE1286" w:rsidP="00CE1286">
      <w:pPr>
        <w:pStyle w:val="Paragrafi"/>
        <w:jc w:val="center"/>
        <w:rPr>
          <w:sz w:val="20"/>
        </w:rPr>
      </w:pPr>
    </w:p>
    <w:p w:rsidR="00CE1286" w:rsidRPr="00FA3D0B" w:rsidRDefault="00CE1286" w:rsidP="00CE1286">
      <w:pPr>
        <w:pStyle w:val="Paragrafi"/>
        <w:suppressLineNumbers/>
        <w:suppressAutoHyphens/>
        <w:ind w:firstLine="0"/>
        <w:jc w:val="left"/>
        <w:rPr>
          <w:sz w:val="20"/>
        </w:rPr>
        <w:sectPr w:rsidR="00CE1286" w:rsidRPr="00FA3D0B" w:rsidSect="00CE1286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  <w:r>
        <w:tab/>
      </w:r>
      <w:r w:rsidRPr="00FA3D0B">
        <w:rPr>
          <w:sz w:val="20"/>
        </w:rPr>
        <w:t>1. Preshevë, Medregjë, Bujanovc</w:t>
      </w:r>
      <w:r>
        <w:rPr>
          <w:sz w:val="20"/>
        </w:rPr>
        <w:t>ë.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F67" w:rsidRDefault="001D4F67">
      <w:r>
        <w:separator/>
      </w:r>
    </w:p>
  </w:endnote>
  <w:endnote w:type="continuationSeparator" w:id="0">
    <w:p w:rsidR="001D4F67" w:rsidRDefault="001D4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286" w:rsidRDefault="00CE1286" w:rsidP="00CE128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1286" w:rsidRDefault="00CE1286" w:rsidP="00CE128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286" w:rsidRPr="00AF5B1D" w:rsidRDefault="00CE1286" w:rsidP="00CE1286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AF5B1D">
      <w:rPr>
        <w:rStyle w:val="PageNumber"/>
        <w:rFonts w:ascii="CG Times" w:hAnsi="CG Times"/>
        <w:sz w:val="22"/>
        <w:szCs w:val="22"/>
      </w:rPr>
      <w:fldChar w:fldCharType="begin"/>
    </w:r>
    <w:r w:rsidRPr="00AF5B1D">
      <w:rPr>
        <w:rStyle w:val="PageNumber"/>
        <w:rFonts w:ascii="CG Times" w:hAnsi="CG Times"/>
        <w:sz w:val="22"/>
        <w:szCs w:val="22"/>
      </w:rPr>
      <w:instrText xml:space="preserve">PAGE  </w:instrText>
    </w:r>
    <w:r w:rsidRPr="00AF5B1D">
      <w:rPr>
        <w:rStyle w:val="PageNumber"/>
        <w:rFonts w:ascii="CG Times" w:hAnsi="CG Times"/>
        <w:sz w:val="22"/>
        <w:szCs w:val="22"/>
      </w:rPr>
      <w:fldChar w:fldCharType="separate"/>
    </w:r>
    <w:r w:rsidR="00BE0EFE">
      <w:rPr>
        <w:rStyle w:val="PageNumber"/>
        <w:rFonts w:ascii="CG Times" w:hAnsi="CG Times"/>
        <w:noProof/>
        <w:sz w:val="22"/>
        <w:szCs w:val="22"/>
      </w:rPr>
      <w:t>3951</w:t>
    </w:r>
    <w:r w:rsidRPr="00AF5B1D">
      <w:rPr>
        <w:rStyle w:val="PageNumber"/>
        <w:rFonts w:ascii="CG Times" w:hAnsi="CG Times"/>
        <w:sz w:val="22"/>
        <w:szCs w:val="22"/>
      </w:rPr>
      <w:fldChar w:fldCharType="end"/>
    </w:r>
  </w:p>
  <w:p w:rsidR="00CE1286" w:rsidRDefault="00CE1286" w:rsidP="00CE128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F67" w:rsidRDefault="001D4F67">
      <w:r>
        <w:separator/>
      </w:r>
    </w:p>
  </w:footnote>
  <w:footnote w:type="continuationSeparator" w:id="0">
    <w:p w:rsidR="001D4F67" w:rsidRDefault="001D4F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077DB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4F67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87FF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61DFD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95A36"/>
    <w:rsid w:val="009164C8"/>
    <w:rsid w:val="009564F9"/>
    <w:rsid w:val="0099468E"/>
    <w:rsid w:val="009A6FC4"/>
    <w:rsid w:val="009C29DF"/>
    <w:rsid w:val="009F72BC"/>
    <w:rsid w:val="00A0784B"/>
    <w:rsid w:val="00A16F91"/>
    <w:rsid w:val="00A22F60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BE0EFE"/>
    <w:rsid w:val="00C22BA7"/>
    <w:rsid w:val="00C36B40"/>
    <w:rsid w:val="00C40649"/>
    <w:rsid w:val="00C41D0F"/>
    <w:rsid w:val="00C7710C"/>
    <w:rsid w:val="00CA03BE"/>
    <w:rsid w:val="00CE1286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EE5118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2CEDE769"/>
  <w15:chartTrackingRefBased/>
  <w15:docId w15:val="{0ED1E9EE-52B9-4D54-B63D-8F2072C5E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1286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CE1286"/>
    <w:rPr>
      <w:rFonts w:ascii="CG Times" w:hAnsi="CG Times"/>
      <w:color w:val="000000"/>
      <w:sz w:val="22"/>
      <w:szCs w:val="22"/>
      <w:lang w:val="en-GB" w:eastAsia="en-US" w:bidi="ar-SA"/>
    </w:rPr>
  </w:style>
  <w:style w:type="paragraph" w:styleId="Footer">
    <w:name w:val="footer"/>
    <w:basedOn w:val="Normal"/>
    <w:rsid w:val="00CE128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E1286"/>
  </w:style>
  <w:style w:type="character" w:customStyle="1" w:styleId="VENDOSIChar">
    <w:name w:val="VENDOSI Char"/>
    <w:basedOn w:val="DefaultParagraphFont"/>
    <w:link w:val="VENDOSI"/>
    <w:rsid w:val="00661DFD"/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1628</Words>
  <Characters>9284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6</cp:revision>
  <dcterms:created xsi:type="dcterms:W3CDTF">2025-10-29T13:08:00Z</dcterms:created>
  <dcterms:modified xsi:type="dcterms:W3CDTF">2025-10-29T13:29:00Z</dcterms:modified>
</cp:coreProperties>
</file>