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27B" w:rsidRPr="0015629B" w:rsidRDefault="001E127B" w:rsidP="001E127B">
      <w:pPr>
        <w:pStyle w:val="Akti"/>
      </w:pPr>
      <w:bookmarkStart w:id="0" w:name="_GoBack"/>
      <w:bookmarkEnd w:id="0"/>
      <w:r w:rsidRPr="0015629B">
        <w:t>Vendim</w:t>
      </w:r>
    </w:p>
    <w:p w:rsidR="001E127B" w:rsidRPr="0015629B" w:rsidRDefault="001E127B" w:rsidP="001E127B">
      <w:pPr>
        <w:pStyle w:val="NumriData"/>
      </w:pPr>
      <w:r w:rsidRPr="0015629B">
        <w:t>Nr.230, datë 19.4.2006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Titulli"/>
      </w:pPr>
      <w:r w:rsidRPr="0015629B">
        <w:t>Për disa shtesa dhe ndryshime në vendimin nr.194, datë 22.4.1999 të Këshillit të Ministrave “Për miratimin e strukturës së pagës Të punonjësve mësimorë, në arsimin parauniversitar”, të ndryshuar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BazLigjPropozues"/>
      </w:pPr>
      <w:r w:rsidRPr="0015629B">
        <w:t>Në mbështetje të nenit 100 të Kushtetutës dhe të pikës 1 të nenit 5 të ligjit nr.8487, datë 13.5.1999 “Për kompetencat për caktimin e pagave të punës”, të ndryshuar, me propozimin e Ministrit të Brendshëm dhe të Ministrit të Financave, Këshilli i Ministrave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VENDOSI"/>
      </w:pPr>
      <w:r w:rsidRPr="0015629B">
        <w:t>Vendosi: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  <w:r w:rsidRPr="0015629B">
        <w:t>1. Në vendimin nr.194, datë 22.4.1999 të Këshillit të Ministrave, të ndryshuar, të bëhen këto shtesa e ndryshime:</w:t>
      </w:r>
    </w:p>
    <w:p w:rsidR="001E127B" w:rsidRPr="0015629B" w:rsidRDefault="001E127B" w:rsidP="001E127B">
      <w:pPr>
        <w:pStyle w:val="Paragrafi"/>
      </w:pPr>
      <w:r w:rsidRPr="0015629B">
        <w:t>a) Pas pikës 3, shtohet pika 3/1, me këtë përmbajtje:</w:t>
      </w:r>
    </w:p>
    <w:p w:rsidR="001E127B" w:rsidRPr="0015629B" w:rsidRDefault="001E127B" w:rsidP="001E127B">
      <w:pPr>
        <w:pStyle w:val="Paragrafi"/>
      </w:pPr>
      <w:r w:rsidRPr="0015629B">
        <w:t>“3/1. Mësuesit e matematikës, fizikës dhe të informatikës në shkollat e mesme dhe mësuesit e matematikës dhe fizikës në shkollat 8-vjeçare, me diplomë universitare në degët matematikë, fizikë dhe informatikë, përfitojnë një shtesë për kushte pune, në masën 1 200 (një mijë e dyqind) lekë në muaj.”.</w:t>
      </w:r>
    </w:p>
    <w:p w:rsidR="001E127B" w:rsidRPr="0015629B" w:rsidRDefault="001E127B" w:rsidP="001E127B">
      <w:pPr>
        <w:pStyle w:val="Paragrafi"/>
      </w:pPr>
      <w:r w:rsidRPr="0015629B">
        <w:t>b) Lidhja nr.1 “Struktura e pagës për punonjësit mësimorë”, zëvendësohet me lidhjen me të njëjtin numër dhe emërtim, që i bashkëlidhet këtij vendimi dhe është pjesë përbërëse e tij.</w:t>
      </w:r>
    </w:p>
    <w:p w:rsidR="001E127B" w:rsidRPr="0015629B" w:rsidRDefault="001E127B" w:rsidP="001E127B">
      <w:pPr>
        <w:pStyle w:val="Paragrafi"/>
      </w:pPr>
      <w:r w:rsidRPr="0015629B">
        <w:t>c) Lidhja nr.2 “Paga e grupit”, zëvendësohet me lidhjen me të njëjtin numër dhe emërtim, që i bashkëlidhet këtij vendimi dhe është pjesë përbërëse e tij.</w:t>
      </w:r>
    </w:p>
    <w:p w:rsidR="001E127B" w:rsidRPr="0015629B" w:rsidRDefault="001E127B" w:rsidP="001E127B">
      <w:pPr>
        <w:pStyle w:val="Paragrafi"/>
      </w:pPr>
      <w:r w:rsidRPr="0015629B">
        <w:t>ç) Lidhja nr.3 “Shpërblimi mujor për punonjësit mësimorë në arsimin parauniversitar, që punojnë larg vendbanimit”, zëvendësohet me lidhjen me të njëjtin numër dhe emërtim, që i bashkëlidhet këtij vendimi dhe është pjesë përbërëse e tij.</w:t>
      </w:r>
    </w:p>
    <w:p w:rsidR="001E127B" w:rsidRPr="0015629B" w:rsidRDefault="001E127B" w:rsidP="001E127B">
      <w:pPr>
        <w:pStyle w:val="Paragrafi"/>
      </w:pPr>
      <w:r w:rsidRPr="0015629B">
        <w:t>2. Pagat e punonjësve të sistemit të arsimit parauniversitar, duke filluar nga data 15 prill 2006, rriten mesatarisht 17 për qind.</w:t>
      </w:r>
    </w:p>
    <w:p w:rsidR="001E127B" w:rsidRPr="0015629B" w:rsidRDefault="001E127B" w:rsidP="001E127B">
      <w:pPr>
        <w:pStyle w:val="Paragrafi"/>
      </w:pPr>
      <w:r w:rsidRPr="0015629B">
        <w:t>3. Paga e trembëdhjetë, që shpërndahej në fund të vitit, bëhet pjesë e pagës mujore të punonjësve mësimorë, të sistemit parauniversitar.</w:t>
      </w:r>
    </w:p>
    <w:p w:rsidR="001E127B" w:rsidRPr="0015629B" w:rsidRDefault="001E127B" w:rsidP="001E127B">
      <w:pPr>
        <w:pStyle w:val="Paragrafi"/>
      </w:pPr>
      <w:r w:rsidRPr="0015629B">
        <w:t>4. Efektet financiare, për paga e sigurime shoqërore, që rrjedhin nga zbatimi i këtij vendimi, për periudhën prill-korrik 2006, të përballohen nga fondet e parashikuara në ligjin nr.9464, datë 28.12.2005 “Për Buxhetin e Shtetit të vitit 2006” për rritjen dhe reformën në sistemin e pagave për vitin 2006.</w:t>
      </w:r>
    </w:p>
    <w:p w:rsidR="001E127B" w:rsidRPr="0015629B" w:rsidRDefault="001E127B" w:rsidP="001E127B">
      <w:pPr>
        <w:pStyle w:val="Paragrafi"/>
      </w:pPr>
      <w:r w:rsidRPr="0015629B">
        <w:t>5. Vendimi nr.601, datë 17.11.2000 i Këshillit të Ministrave “Për një shtesë fondi në buxhetin e Ministrisë së Arsimit dhe Shkencës, për dhënien e pagës së trembëdhjetë të punonjësve mësimorë të sistemin parauniversitar”, të ndryshuar, shfuqizohet.</w:t>
      </w:r>
    </w:p>
    <w:p w:rsidR="001E127B" w:rsidRPr="0015629B" w:rsidRDefault="001E127B" w:rsidP="001E127B">
      <w:pPr>
        <w:pStyle w:val="Paragrafi"/>
      </w:pPr>
      <w:r w:rsidRPr="0015629B">
        <w:t>6. Ngarkohen Ministria e Financave dhe Ministria e Arsimit dhe Shkencës për zbatimin e këtij vendimi.</w:t>
      </w:r>
    </w:p>
    <w:p w:rsidR="001E127B" w:rsidRPr="0015629B" w:rsidRDefault="001E127B" w:rsidP="001E127B">
      <w:pPr>
        <w:pStyle w:val="Paragrafi"/>
      </w:pPr>
      <w:r w:rsidRPr="0015629B">
        <w:t>Ky vendim hyn në fuqi pas botimit në Fletoren Zyrtare dhe i shtrin efektet nga data 15 prill 2006.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Autoriteti"/>
      </w:pPr>
      <w:r w:rsidRPr="0015629B">
        <w:t>Kryeministri</w:t>
      </w:r>
    </w:p>
    <w:p w:rsidR="001E127B" w:rsidRPr="0015629B" w:rsidRDefault="001E127B" w:rsidP="001E127B">
      <w:pPr>
        <w:pStyle w:val="AutoritetiEmer"/>
      </w:pPr>
      <w:r w:rsidRPr="0015629B">
        <w:t>Sali Berisha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  <w:jc w:val="right"/>
      </w:pPr>
      <w:r w:rsidRPr="0015629B">
        <w:t>Lidhja nr.1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TitulliTitull"/>
      </w:pPr>
      <w:r w:rsidRPr="0015629B">
        <w:lastRenderedPageBreak/>
        <w:t>STRUKTURA E PAGËS PËR PUNONJËSIT MËSIMORË</w:t>
      </w:r>
    </w:p>
    <w:p w:rsidR="001E127B" w:rsidRPr="0015629B" w:rsidRDefault="001E127B" w:rsidP="001E127B">
      <w:pPr>
        <w:pStyle w:val="Paragrafi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062"/>
        <w:gridCol w:w="998"/>
        <w:gridCol w:w="1440"/>
        <w:gridCol w:w="1357"/>
        <w:gridCol w:w="1265"/>
        <w:gridCol w:w="1698"/>
      </w:tblGrid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Emërtimi</w:t>
            </w:r>
          </w:p>
        </w:tc>
        <w:tc>
          <w:tcPr>
            <w:tcW w:w="6758" w:type="dxa"/>
            <w:gridSpan w:val="5"/>
          </w:tcPr>
          <w:p w:rsidR="001E127B" w:rsidRPr="0015629B" w:rsidRDefault="001E127B" w:rsidP="001E127B">
            <w:pPr>
              <w:pStyle w:val="Tabele"/>
            </w:pPr>
            <w:r w:rsidRPr="0015629B">
              <w:t>Paga mujore</w:t>
            </w: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3795" w:type="dxa"/>
            <w:gridSpan w:val="3"/>
          </w:tcPr>
          <w:p w:rsidR="001E127B" w:rsidRPr="0015629B" w:rsidRDefault="001E127B" w:rsidP="001E127B">
            <w:pPr>
              <w:pStyle w:val="Tabele"/>
            </w:pPr>
            <w:r w:rsidRPr="0015629B">
              <w:t>Paga individuale</w:t>
            </w:r>
          </w:p>
        </w:tc>
        <w:tc>
          <w:tcPr>
            <w:tcW w:w="2963" w:type="dxa"/>
            <w:gridSpan w:val="2"/>
          </w:tcPr>
          <w:p w:rsidR="001E127B" w:rsidRPr="0015629B" w:rsidRDefault="001E127B" w:rsidP="001E127B">
            <w:pPr>
              <w:pStyle w:val="Tabele"/>
            </w:pPr>
            <w:r w:rsidRPr="0015629B">
              <w:t>Shtesa e profesionit</w:t>
            </w: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Paga e grupit (PG)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Shtesa për vjetërsi (SHV)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Shtesa për kualifikim (SHK)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Shtesa për pozicion (SHP)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Totali</w:t>
            </w: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3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4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5=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(1+2+3+4)</w:t>
            </w: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Drejtor i shkollës së mesme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Përgjegjës poligoni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Drejtor i institutit të nxënësve që nuk shikojnë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Drejtor i institutit të nxënësve që nuk dëgjojnë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Drejtor në shkollat me probleme të larta mendore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Drejtor i konvikteve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21574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2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Zëvendësdrejtor i shkollës së mesme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Përgjegjës i bazës prodhuese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Zëvendësdrejtor i institutit të nxënësve që nuk shikojnë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Zëvendësdrejtor i institutit të nxënësve që nuk dëgjojnë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Zëvendësdrejtor në shkollat me probleme të larta mendore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Drejtor i Qendrës Kulturore të Fëmijëve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18147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3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Drejtor i shkollës 8- vjeçare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17658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rPr>
          <w:trHeight w:val="1422"/>
        </w:trPr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4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Drejtor i shkollës fillore, klasa I-IV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Përgjegjës (kryemësues) i shkollës  me klasë kolektive</w:t>
            </w: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  <w:r w:rsidRPr="0015629B">
              <w:t>Zëvendësdrejtor i shkollës 8-vjeçare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 xml:space="preserve">Përgjegjës sektori në </w:t>
            </w:r>
            <w:r w:rsidRPr="0015629B">
              <w:lastRenderedPageBreak/>
              <w:t>Qendrën Kulturore të Fëmijëve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lastRenderedPageBreak/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15505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lastRenderedPageBreak/>
              <w:t>5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Drejtor i kopshtit me ushqim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13137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6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Drejtor i kopshtit pa ushqim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2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11226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7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 xml:space="preserve">Mësues në shkollat e mesme 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Mësues në institutin e nxënësve që nuk shikojnë.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Mësues në institutin e nxënësve që nuk dëgjojnë.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Mësues në shkollat me probleme të larta mendore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15167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8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Mësues në shkollat 8-vjeçare, klasa I-VIII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Edukator konvikti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Kujdestar konvikti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Instruktor në Qendrën Kulturore të Fëmijëve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12510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9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Edukator në kopsht fëmijësh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9447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10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Mësues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2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10750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11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Mësues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3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 e P.G.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 e P.G.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10750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12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 xml:space="preserve">Edukator në kopsht fëmijësh 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3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9087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  <w:tr w:rsidR="001E127B" w:rsidRPr="0015629B">
        <w:tc>
          <w:tcPr>
            <w:tcW w:w="46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13</w:t>
            </w:r>
          </w:p>
        </w:tc>
        <w:tc>
          <w:tcPr>
            <w:tcW w:w="2062" w:type="dxa"/>
          </w:tcPr>
          <w:p w:rsidR="001E127B" w:rsidRPr="0015629B" w:rsidRDefault="001E127B" w:rsidP="001E127B">
            <w:pPr>
              <w:pStyle w:val="Tabele"/>
            </w:pPr>
            <w:r w:rsidRPr="0015629B">
              <w:t>Edukator në kopsht fëmijësh</w:t>
            </w:r>
          </w:p>
        </w:tc>
        <w:tc>
          <w:tcPr>
            <w:tcW w:w="998" w:type="dxa"/>
          </w:tcPr>
          <w:p w:rsidR="001E127B" w:rsidRPr="0015629B" w:rsidRDefault="001E127B" w:rsidP="001E127B">
            <w:pPr>
              <w:pStyle w:val="Tabele"/>
            </w:pPr>
            <w:r w:rsidRPr="0015629B">
              <w:t>2</w:t>
            </w:r>
          </w:p>
        </w:tc>
        <w:tc>
          <w:tcPr>
            <w:tcW w:w="1440" w:type="dxa"/>
          </w:tcPr>
          <w:p w:rsidR="001E127B" w:rsidRPr="0015629B" w:rsidRDefault="001E127B" w:rsidP="001E127B">
            <w:pPr>
              <w:pStyle w:val="Tabele"/>
            </w:pPr>
            <w:r w:rsidRPr="0015629B">
              <w:t>2% e P.G.</w:t>
            </w:r>
          </w:p>
        </w:tc>
        <w:tc>
          <w:tcPr>
            <w:tcW w:w="1357" w:type="dxa"/>
          </w:tcPr>
          <w:p w:rsidR="001E127B" w:rsidRPr="0015629B" w:rsidRDefault="001E127B" w:rsidP="001E127B">
            <w:pPr>
              <w:pStyle w:val="Tabele"/>
            </w:pPr>
            <w:r w:rsidRPr="0015629B">
              <w:t>5%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10%</w:t>
            </w:r>
          </w:p>
          <w:p w:rsidR="001E127B" w:rsidRPr="0015629B" w:rsidRDefault="001E127B" w:rsidP="001E127B">
            <w:pPr>
              <w:pStyle w:val="Tabele"/>
            </w:pPr>
            <w:r w:rsidRPr="0015629B">
              <w:t>20%</w:t>
            </w:r>
          </w:p>
        </w:tc>
        <w:tc>
          <w:tcPr>
            <w:tcW w:w="1265" w:type="dxa"/>
          </w:tcPr>
          <w:p w:rsidR="001E127B" w:rsidRPr="0015629B" w:rsidRDefault="001E127B" w:rsidP="001E127B">
            <w:pPr>
              <w:pStyle w:val="Tabele"/>
            </w:pPr>
            <w:r w:rsidRPr="0015629B">
              <w:t>9087</w:t>
            </w:r>
          </w:p>
        </w:tc>
        <w:tc>
          <w:tcPr>
            <w:tcW w:w="1698" w:type="dxa"/>
          </w:tcPr>
          <w:p w:rsidR="001E127B" w:rsidRPr="0015629B" w:rsidRDefault="001E127B" w:rsidP="001E127B">
            <w:pPr>
              <w:pStyle w:val="Tabele"/>
            </w:pPr>
          </w:p>
        </w:tc>
      </w:tr>
    </w:tbl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  <w:jc w:val="right"/>
      </w:pPr>
      <w:r w:rsidRPr="0015629B">
        <w:t>Lidhja nr.2</w:t>
      </w:r>
    </w:p>
    <w:p w:rsidR="001E127B" w:rsidRPr="0015629B" w:rsidRDefault="001E127B" w:rsidP="001E127B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1E127B" w:rsidRPr="0015629B"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lastRenderedPageBreak/>
              <w:t>Grupi</w:t>
            </w:r>
          </w:p>
        </w:tc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Paga në lekë</w:t>
            </w:r>
          </w:p>
        </w:tc>
      </w:tr>
      <w:tr w:rsidR="001E127B" w:rsidRPr="0015629B"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</w:t>
            </w:r>
          </w:p>
        </w:tc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10050</w:t>
            </w:r>
          </w:p>
        </w:tc>
      </w:tr>
      <w:tr w:rsidR="001E127B" w:rsidRPr="0015629B"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2</w:t>
            </w:r>
          </w:p>
        </w:tc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8950</w:t>
            </w:r>
          </w:p>
        </w:tc>
      </w:tr>
      <w:tr w:rsidR="001E127B" w:rsidRPr="0015629B"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3</w:t>
            </w:r>
          </w:p>
        </w:tc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7000</w:t>
            </w:r>
          </w:p>
        </w:tc>
      </w:tr>
      <w:tr w:rsidR="001E127B" w:rsidRPr="0015629B"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4</w:t>
            </w:r>
          </w:p>
        </w:tc>
        <w:tc>
          <w:tcPr>
            <w:tcW w:w="4428" w:type="dxa"/>
          </w:tcPr>
          <w:p w:rsidR="001E127B" w:rsidRPr="0015629B" w:rsidRDefault="001E127B" w:rsidP="001E127B">
            <w:pPr>
              <w:pStyle w:val="Tabele"/>
            </w:pPr>
            <w:r w:rsidRPr="0015629B">
              <w:t>4500</w:t>
            </w:r>
          </w:p>
        </w:tc>
      </w:tr>
    </w:tbl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  <w:jc w:val="right"/>
      </w:pPr>
      <w:r w:rsidRPr="0015629B">
        <w:t>Lidhja nr.3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TitulliTitull"/>
      </w:pPr>
      <w:r w:rsidRPr="0015629B">
        <w:t>SHPËRBLIMI MUJOR PËR PUNONJËSIT MËSIMORË NË ARSIMIN PARAUNIVERSITAR, QË PUNOJNË LARG VENDBANIMIT</w:t>
      </w:r>
    </w:p>
    <w:p w:rsidR="001E127B" w:rsidRPr="0015629B" w:rsidRDefault="001E127B" w:rsidP="001E127B">
      <w:pPr>
        <w:pStyle w:val="Paragrafi"/>
      </w:pPr>
    </w:p>
    <w:p w:rsidR="001E127B" w:rsidRPr="0015629B" w:rsidRDefault="001E127B" w:rsidP="001E127B">
      <w:pPr>
        <w:pStyle w:val="Paragrafi"/>
      </w:pPr>
      <w:r w:rsidRPr="0015629B">
        <w:t>Mësuesit që punojnë larg vendbanimit të tyre marrin shpërblim si vijon:</w:t>
      </w:r>
    </w:p>
    <w:p w:rsidR="001E127B" w:rsidRPr="0015629B" w:rsidRDefault="001E127B" w:rsidP="001E127B">
      <w:pPr>
        <w:pStyle w:val="Paragrafi"/>
      </w:pPr>
      <w:r w:rsidRPr="0015629B">
        <w:t>- Kur punojnë brenda  rrethit të tyre por larg vendbanimit dhe kthehen brenda ditës në vendbanimin e tyre deri në 1500 (një mijë e pesë qind) lekë në muaj, kur nuk kthehen brenda ditës në vendbanimin e tyre deri në 4375 (katër mijë e treqind e shtatëdhjetë e pesë) lekë në muaj.</w:t>
      </w:r>
    </w:p>
    <w:p w:rsidR="001E127B" w:rsidRPr="0015629B" w:rsidRDefault="001E127B" w:rsidP="001E127B">
      <w:pPr>
        <w:pStyle w:val="Paragrafi"/>
      </w:pPr>
      <w:r w:rsidRPr="0015629B">
        <w:t>- Kur punojnë jashtë rrethit të tyre, në rrethet Pukë, Tropojë, Kukës, Has, Malësi e Madhe, Dibër, Bulqizë deri në 5875 (pesë mijë e tetëqind e shtatëdhjetë e pesë) lekë në muaj kur punojnë në qytet dhe në qendër të rrethit, dhe deri në 7250 (shtatëmijë e dyqind e pesëdhjetë) lekë në muaj kur punojnë jashtë qytetit dhe qendrës së rrethit.</w:t>
      </w:r>
    </w:p>
    <w:p w:rsidR="001E127B" w:rsidRPr="0015629B" w:rsidRDefault="001E127B" w:rsidP="001E127B">
      <w:pPr>
        <w:pStyle w:val="Paragrafi"/>
      </w:pPr>
      <w:r w:rsidRPr="0015629B">
        <w:t>- Kur punojnë jashtë rrethit të tyre të vendbanimit, në rrethet Mat, Mirditë, Gramsh, Librazhd deri në 4375 (katër mijë e treqind e shtatëdhjetë e pesë) lekë në muaj kur punojnë në qytet dhe në qendër të rrethit, dhe deri në 5875 (pesë mijë e tetëqind e shtatëdhjetë e pesë) lekë në muaj kur punojnë jashtë qytetit dhe qendrës së rrethit.</w:t>
      </w:r>
    </w:p>
    <w:p w:rsidR="001E127B" w:rsidRPr="0015629B" w:rsidRDefault="001E127B" w:rsidP="001E127B">
      <w:pPr>
        <w:pStyle w:val="Paragrafi"/>
      </w:pPr>
      <w:r w:rsidRPr="0015629B">
        <w:t>- Kur punojnë jashtë rrethit të tyre të vendbanimit në rrethet e tjera, deri në 3000 (tre mijë) lekë në muaj, kur punojnë në qytet dhe në qendër të rrethit, dhe deri në 4375 (katër mijë e treqind e shtatëdhjetë e pesë) lekë në muaj kur punojnë jashtë qytetit dhe qendrës së rrethit.</w:t>
      </w:r>
    </w:p>
    <w:p w:rsidR="001E127B" w:rsidRPr="0015629B" w:rsidRDefault="001E127B" w:rsidP="001E127B">
      <w:pPr>
        <w:pStyle w:val="Paragrafi"/>
      </w:pPr>
    </w:p>
    <w:p w:rsidR="00A0784B" w:rsidRPr="0003399E" w:rsidRDefault="00A0784B" w:rsidP="001E127B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127B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90C20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96CBFA-3BC0-453C-8267-92B4DD71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27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2019-03-16T13:37:00Z</dcterms:created>
  <dcterms:modified xsi:type="dcterms:W3CDTF">2019-03-16T13:37:00Z</dcterms:modified>
</cp:coreProperties>
</file>