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8F1" w:rsidRPr="00C54798" w:rsidRDefault="007C58F1" w:rsidP="007C58F1">
      <w:pPr>
        <w:pStyle w:val="Akti"/>
      </w:pPr>
      <w:bookmarkStart w:id="0" w:name="_GoBack"/>
      <w:bookmarkEnd w:id="0"/>
      <w:r w:rsidRPr="00C54798">
        <w:t xml:space="preserve">Vendim </w:t>
      </w:r>
    </w:p>
    <w:p w:rsidR="007C58F1" w:rsidRPr="00C54798" w:rsidRDefault="007C58F1" w:rsidP="007C58F1">
      <w:pPr>
        <w:pStyle w:val="NumriData"/>
        <w:rPr>
          <w:szCs w:val="22"/>
        </w:rPr>
      </w:pPr>
      <w:r w:rsidRPr="00C54798">
        <w:rPr>
          <w:szCs w:val="22"/>
        </w:rPr>
        <w:t>Nr.235, datë 19.4.2006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Default="007C58F1" w:rsidP="007C58F1">
      <w:pPr>
        <w:pStyle w:val="Titulli"/>
      </w:pPr>
      <w:r w:rsidRPr="00C54798">
        <w:t>Për disa ndryshime dhe shtesa në vendimin nr.495, datë 18.7.2</w:t>
      </w:r>
      <w:r>
        <w:t>003 të këshillit të ministrave</w:t>
      </w:r>
      <w:r w:rsidRPr="00C54798">
        <w:t xml:space="preserve"> “Për përcaktimin e kushteve, të personave dhe sasisë së nevojshme të karburantit për përdorim nga anijet </w:t>
      </w:r>
    </w:p>
    <w:p w:rsidR="007C58F1" w:rsidRPr="00C54798" w:rsidRDefault="007C58F1" w:rsidP="007C58F1">
      <w:pPr>
        <w:pStyle w:val="Titulli"/>
      </w:pPr>
      <w:smartTag w:uri="urn:schemas-microsoft-com:office:smarttags" w:element="place">
        <w:r w:rsidRPr="00C54798">
          <w:t>e peshkimit</w:t>
        </w:r>
      </w:smartTag>
      <w:r w:rsidRPr="00C54798">
        <w:t>”, të ndryshuar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BazLigjPropozues"/>
      </w:pPr>
      <w:r w:rsidRPr="00C54798">
        <w:t>Në mbështetje të nenit 100 të Kushtetutës dhe të nenit 19, të ligjit nr.89</w:t>
      </w:r>
      <w:r>
        <w:t>76, datë 12.12.2002</w:t>
      </w:r>
      <w:r w:rsidRPr="00C54798">
        <w:t xml:space="preserve"> “Për akcizat” , të ndryshuar, me propozimin e Ministrit të Mjedisit, Pyjeve dhe Administrimit të Ujërave, Këshilli i Ministrave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VENDOSI"/>
      </w:pPr>
      <w:r w:rsidRPr="00C54798">
        <w:t>Vendosi: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1. Në vendimin nr.495, datë 18.7.2003, të Këshillit të Ministrave, të ndryshuar, të bëhen këto ndryshime dhe shtesa: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a) Pika 3 ndryshohet si më poshtë vijon: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“3. Shoqëri furnizuese e gazoilit, për anijet e peshkimit të jetë “Armo” sh.a., Fier. Çmimi i shitjes së gazoilit pa akcizë të jetë 40 lekë/litër.”.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b) Pas pikës 3, shtohen pikat 3/1 e 3/2, me këtë përmbajtje: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“3/1. Efekti financiar prej 181 900 000 (njëqind e tetëdhjetë e n</w:t>
      </w:r>
      <w:r>
        <w:rPr>
          <w:szCs w:val="22"/>
        </w:rPr>
        <w:t>jë milion</w:t>
      </w:r>
      <w:r w:rsidRPr="00C54798">
        <w:rPr>
          <w:szCs w:val="22"/>
        </w:rPr>
        <w:t xml:space="preserve"> e nëntëqind mijë) lekësh, për 6-mujorin e dytë të vitit 2006, për diferencën ndërmjet çmimit të programuar vjetor të “Armo” sh.a., dhe çmimit 40 lekë/litër, t’i paguhet kësaj shoqërie nga fondet e Buxhetit të Shtetit.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3/2 Furnizimi i anijeve të peshkimit të mbështetet në normativat bazë të harxhimit të karburantit, sipas anijeve dhe llojit të peshkimi</w:t>
      </w:r>
      <w:r>
        <w:rPr>
          <w:szCs w:val="22"/>
        </w:rPr>
        <w:t>t</w:t>
      </w:r>
      <w:r w:rsidRPr="00C54798">
        <w:rPr>
          <w:szCs w:val="22"/>
        </w:rPr>
        <w:t>, në përputhje me tabelën, që i bashkëlidhet këtij vendimi.”.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c) Pika 6 ndryshohet, si më poshtë vijon: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“6. Në bazë të numrit të anijeve të peshkimit dhe të fuqisë së tyre motorike, sasia e gazoilit, për 1 vit, për nevoja</w:t>
      </w:r>
      <w:r>
        <w:rPr>
          <w:szCs w:val="22"/>
        </w:rPr>
        <w:t>t</w:t>
      </w:r>
      <w:r w:rsidRPr="00C54798">
        <w:rPr>
          <w:szCs w:val="22"/>
        </w:rPr>
        <w:t xml:space="preserve"> e peshkimit sipas porteve, nuk duhet t’i kalojë sasitë e mëposhtme: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i) Durrës</w:t>
      </w:r>
      <w:r w:rsidRPr="00C54798">
        <w:rPr>
          <w:szCs w:val="22"/>
        </w:rPr>
        <w:tab/>
      </w:r>
      <w:r w:rsidRPr="00C54798">
        <w:rPr>
          <w:szCs w:val="22"/>
        </w:rPr>
        <w:tab/>
      </w:r>
      <w:r w:rsidRPr="00C54798">
        <w:rPr>
          <w:szCs w:val="22"/>
        </w:rPr>
        <w:tab/>
        <w:t>7 200 tonë;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ii) Vlorë</w:t>
      </w:r>
      <w:r w:rsidRPr="00C54798">
        <w:rPr>
          <w:szCs w:val="22"/>
        </w:rPr>
        <w:tab/>
      </w:r>
      <w:r w:rsidRPr="00C54798">
        <w:rPr>
          <w:szCs w:val="22"/>
        </w:rPr>
        <w:tab/>
      </w:r>
      <w:r w:rsidRPr="00C54798">
        <w:rPr>
          <w:szCs w:val="22"/>
        </w:rPr>
        <w:tab/>
        <w:t>5 600 tonë;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iii) Shëngjin</w:t>
      </w:r>
      <w:r w:rsidRPr="00C54798">
        <w:rPr>
          <w:szCs w:val="22"/>
        </w:rPr>
        <w:tab/>
      </w:r>
      <w:r w:rsidRPr="00C54798">
        <w:rPr>
          <w:szCs w:val="22"/>
        </w:rPr>
        <w:tab/>
      </w:r>
      <w:r w:rsidRPr="00C54798">
        <w:rPr>
          <w:szCs w:val="22"/>
        </w:rPr>
        <w:tab/>
        <w:t>3 700 tonë;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iv) Sarandë</w:t>
      </w:r>
      <w:r w:rsidRPr="00C54798">
        <w:rPr>
          <w:szCs w:val="22"/>
        </w:rPr>
        <w:tab/>
      </w:r>
      <w:r w:rsidRPr="00C54798">
        <w:rPr>
          <w:szCs w:val="22"/>
        </w:rPr>
        <w:tab/>
      </w:r>
      <w:r w:rsidRPr="00C54798">
        <w:rPr>
          <w:szCs w:val="22"/>
        </w:rPr>
        <w:tab/>
        <w:t>1 500 tonë.”.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ç) Pika 9 ndryshohet, si më poshtë vijon: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“9. Ngarkohen Ministria e Mjedisit, Pyjeve dhe Administrimit të Ujërave, Ministria e Financave dhe Ministria e Ekonomisë, Tregtisë dhe Energjetikës të nxjerrin udhëzimin e përbashkët për procedurat dhe dokumentacionin e duhur për shpërndarjen e karburantit, nga prodhuesi “Armo” sh.a., te përdoruesi.”.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d) Pika 7 shfuqizohet.</w:t>
      </w:r>
    </w:p>
    <w:p w:rsidR="007C58F1" w:rsidRPr="00C54798" w:rsidRDefault="007C58F1" w:rsidP="007C58F1">
      <w:pPr>
        <w:pStyle w:val="Paragrafi"/>
        <w:rPr>
          <w:szCs w:val="22"/>
        </w:rPr>
      </w:pPr>
      <w:r>
        <w:rPr>
          <w:szCs w:val="22"/>
        </w:rPr>
        <w:t>2. Ngarkohet</w:t>
      </w:r>
      <w:r w:rsidRPr="00C54798">
        <w:rPr>
          <w:szCs w:val="22"/>
        </w:rPr>
        <w:t xml:space="preserve"> M</w:t>
      </w:r>
      <w:r>
        <w:rPr>
          <w:szCs w:val="22"/>
        </w:rPr>
        <w:t>inistria e M</w:t>
      </w:r>
      <w:r w:rsidRPr="00C54798">
        <w:rPr>
          <w:szCs w:val="22"/>
        </w:rPr>
        <w:t>jedisit, Pyjeve dhe Administrimit të Ujërave për zbatimin e këtij vendimi.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Ky vendim hyn në fuqi pas botimit në Fletoren Zyrtare dhe i shtrin efektet nga data 1 korrik 2006.</w:t>
      </w:r>
    </w:p>
    <w:p w:rsidR="007C58F1" w:rsidRPr="00C54798" w:rsidRDefault="007C58F1" w:rsidP="007C58F1">
      <w:pPr>
        <w:pStyle w:val="Autoriteti"/>
      </w:pPr>
      <w:r w:rsidRPr="00C54798">
        <w:t>KRYEMINISTRI</w:t>
      </w:r>
    </w:p>
    <w:p w:rsidR="007C58F1" w:rsidRPr="00C54798" w:rsidRDefault="007C58F1" w:rsidP="007C58F1">
      <w:pPr>
        <w:pStyle w:val="AutoritetiEmer"/>
      </w:pPr>
      <w:r w:rsidRPr="00C54798">
        <w:t xml:space="preserve">Sali Berisha 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Default="007C58F1" w:rsidP="007C58F1">
      <w:pPr>
        <w:pStyle w:val="Paragrafi"/>
        <w:rPr>
          <w:szCs w:val="22"/>
        </w:rPr>
      </w:pPr>
    </w:p>
    <w:p w:rsidR="007C58F1" w:rsidRDefault="007C58F1" w:rsidP="007C58F1">
      <w:pPr>
        <w:pStyle w:val="Paragrafi"/>
        <w:rPr>
          <w:szCs w:val="22"/>
        </w:rPr>
      </w:pPr>
    </w:p>
    <w:p w:rsidR="007C58F1" w:rsidRDefault="007C58F1" w:rsidP="007C58F1">
      <w:pPr>
        <w:pStyle w:val="Paragrafi"/>
        <w:rPr>
          <w:szCs w:val="22"/>
        </w:rPr>
      </w:pPr>
    </w:p>
    <w:p w:rsidR="007C58F1" w:rsidRDefault="007C58F1" w:rsidP="007C58F1">
      <w:pPr>
        <w:pStyle w:val="Paragrafi"/>
        <w:rPr>
          <w:szCs w:val="22"/>
        </w:rPr>
      </w:pPr>
    </w:p>
    <w:p w:rsidR="007C58F1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ind w:left="6480"/>
        <w:jc w:val="center"/>
        <w:rPr>
          <w:b/>
          <w:szCs w:val="22"/>
        </w:rPr>
      </w:pPr>
      <w:r>
        <w:rPr>
          <w:b/>
          <w:szCs w:val="22"/>
        </w:rPr>
        <w:t xml:space="preserve">     </w:t>
      </w:r>
      <w:r w:rsidRPr="00C54798">
        <w:rPr>
          <w:b/>
          <w:szCs w:val="22"/>
        </w:rPr>
        <w:t>TABELA 1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TitulliTitull"/>
        <w:rPr>
          <w:b/>
        </w:rPr>
      </w:pPr>
      <w:r w:rsidRPr="00C54798">
        <w:rPr>
          <w:b/>
        </w:rPr>
        <w:lastRenderedPageBreak/>
        <w:t>Normativat teknike dhe teknologjike të konsumit të karburantit pëR Anijet e peshkimit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I. Peshkimi fundor – Pellagjik</w:t>
      </w:r>
      <w:r w:rsidRPr="00C54798">
        <w:rPr>
          <w:szCs w:val="22"/>
        </w:rPr>
        <w:tab/>
      </w:r>
      <w:r w:rsidRPr="00C54798">
        <w:rPr>
          <w:szCs w:val="22"/>
        </w:rPr>
        <w:tab/>
      </w:r>
      <w:r w:rsidRPr="00C54798">
        <w:rPr>
          <w:szCs w:val="22"/>
        </w:rPr>
        <w:tab/>
        <w:t>(Koeficienti Lit/Kg = 0.84)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A- Anije peshkimi 150 hp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 max. = 165 gr/hp/orë x 150 = 24.7 kg/orë = 29.3 lit/orë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orar/mes. i shfrytëzimit = 29.3 x 0.7 = 20.5 lit/orë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B- Anije peshkimi 300 hp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 max. = 165 gr/hp/orë x 300 = 49 kg/orë = 58.2 lit/orë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orar/mes. i shfrytëzimit = 58.2 x 0.7 = 40.8 lit/orë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C- Anije peshkimi 400 hp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 max. = 165 gr/hp/orë x 400 = 66 kg/orë = 78.4 lit/orë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orar/mes. i shfrytëzimit = 78.4 x 0.7 = 54.9 lit/orë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D- Anije peshkimi 600 hp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 max. = 165 gr/hp/orë x 600 = 99 kg/orë = 117.6 lit/orë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orar/mes. i shfrytëzimit = 117.6 x 0.7 = 82.3 lit/orë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E- Anije peshkimi 1000 hp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 max. = 165 gr/hp/orë x 1000 = 165 kg/orë = 196 lit/orë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orar/mes. i shfrytëzimit = 196 x 0.7 = 137.2 lit/orë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II. Peshkimi me rrethim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A- Anije peshkimi 80 deri 600 hp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 max. = 165 gr/hp/orë x 300 = 49 kg/orë = 58.2 lit/orë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orar/mes. i shfrytëzimit = 58.2 x 0.50 = 29.1 lit/orë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III. Peshkimi selektiv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A- Anije peshkimi 80 hp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 max. = 165 gr/hp/orë x 80 = 14.4 kg/orë = 17 lit/orë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orar/mes. i shfrytëzimit = 17 x 0.7 = 12 lit/orë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B- M/Flluga peshkimi 40 hp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 max. = 165 gr/hp/orë x 40 = 6.6 kg/orë = 8 lit/orë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orar/mes. i shfrytëzimit = 8 x 0.7 = 5.6 lit/orë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C- M/Lanca peshkimi 20 hp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 max. = 165 gr/hp/orë x 20 = 3.4 kg/orë = 4 lit/orë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orar/mes. i shfrytëzimit = 4 x 0.7 = 2.8 lit/orë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D- M/Lanca peshkimi 10 hp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 max. = 165 gr/hp/orë x 10 = 1.7 kg/orë = 2 lit/orë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- Konsumi orar/mes. i shfrytëzimit = 2 x 0.7 = 1.4 lit/orë</w:t>
      </w:r>
    </w:p>
    <w:p w:rsidR="007C58F1" w:rsidRDefault="007C58F1" w:rsidP="007C58F1">
      <w:pPr>
        <w:pStyle w:val="Paragrafi"/>
        <w:rPr>
          <w:szCs w:val="22"/>
        </w:rPr>
      </w:pPr>
    </w:p>
    <w:p w:rsidR="007C58F1" w:rsidRDefault="007C58F1" w:rsidP="007C58F1">
      <w:pPr>
        <w:pStyle w:val="Paragrafi"/>
        <w:rPr>
          <w:szCs w:val="22"/>
        </w:rPr>
      </w:pPr>
    </w:p>
    <w:p w:rsidR="007C58F1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Në</w:t>
      </w:r>
      <w:r>
        <w:rPr>
          <w:szCs w:val="22"/>
        </w:rPr>
        <w:t xml:space="preserve"> për</w:t>
      </w:r>
      <w:r w:rsidRPr="00C54798">
        <w:rPr>
          <w:szCs w:val="22"/>
        </w:rPr>
        <w:t>llogaritjet e konsumit faktik të karburantit për anije dhe forma të ndryshme peshkimi janë marrë në konsideratë: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1. Gjysmë orë ndezje e motorit në bankinë para nisjes për të arritur parametrat teknik</w:t>
      </w:r>
      <w:r>
        <w:rPr>
          <w:szCs w:val="22"/>
        </w:rPr>
        <w:t>ë</w:t>
      </w:r>
      <w:r w:rsidRPr="00C54798">
        <w:rPr>
          <w:szCs w:val="22"/>
        </w:rPr>
        <w:t xml:space="preserve"> të punës, si dhe praktikë nisje.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lastRenderedPageBreak/>
        <w:t>2. Në Du</w:t>
      </w:r>
      <w:r>
        <w:rPr>
          <w:szCs w:val="22"/>
        </w:rPr>
        <w:t>rrës e Vlorë, dy orë ecje e li</w:t>
      </w:r>
      <w:r w:rsidRPr="00C54798">
        <w:rPr>
          <w:szCs w:val="22"/>
        </w:rPr>
        <w:t>rë deri në zonën e peshkimit dhe dy orë kthim në port.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3. Në Shëngjin dhe Sarandë, një orë ecje e lirë deri në zonën e peshkimit dhe një orë kthim në port.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4. 20% e kohës në peshkim, llogaritet në lëshim veglash peshkimi dhe virim.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5. 10% ecje e lirë, motori në minimum, grisje e karikim trate, kolaudim pajisje peshkimi etj.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 xml:space="preserve">6. Rreth 60% </w:t>
      </w:r>
      <w:r>
        <w:rPr>
          <w:szCs w:val="22"/>
        </w:rPr>
        <w:t>e kohë pune</w:t>
      </w:r>
      <w:r w:rsidRPr="00C54798">
        <w:rPr>
          <w:szCs w:val="22"/>
        </w:rPr>
        <w:t xml:space="preserve"> efektive, tralim.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7. Janë marrë në konsideratë edhe rastet e kthimit në port pa peshkim, për kohë të keqe, difekte teknike etj.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8. Të gjitha përllogaritjet, kanë si qëllim të përcaktojnë vetëm konsumin orar të karburantit, e për rrjedhojë sasia e karburantit që do të rimbursohet del nga koha e punës faktike në det të anijes, shumëzuar me konsumin e aprovuar në orë të paraqitur më sipër.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Në përfundim përcaktimi i normativës së harxhimit të karburantit për anijet e peshkimit, është bërë në vija të përgjithshme mbi bazën e formulës:</w: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jc w:val="center"/>
        <w:rPr>
          <w:szCs w:val="22"/>
        </w:rPr>
      </w:pPr>
      <w:r w:rsidRPr="00C54798">
        <w:rPr>
          <w:position w:val="-24"/>
          <w:szCs w:val="22"/>
        </w:rPr>
        <w:object w:dxaOrig="28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.75pt;height:30.75pt" o:ole="">
            <v:imagedata r:id="rId4" o:title=""/>
          </v:shape>
          <o:OLEObject Type="Embed" ProgID="Equation.3" ShapeID="_x0000_i1025" DrawAspect="Content" ObjectID="_1614252228" r:id="rId5"/>
        </w:object>
      </w:r>
    </w:p>
    <w:p w:rsidR="007C58F1" w:rsidRPr="00C54798" w:rsidRDefault="007C58F1" w:rsidP="007C58F1">
      <w:pPr>
        <w:pStyle w:val="Paragrafi"/>
        <w:jc w:val="center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 xml:space="preserve">K--- </w:t>
      </w:r>
      <w:r w:rsidRPr="00C54798">
        <w:rPr>
          <w:szCs w:val="22"/>
        </w:rPr>
        <w:tab/>
      </w:r>
      <w:r w:rsidRPr="00C54798">
        <w:rPr>
          <w:szCs w:val="22"/>
        </w:rPr>
        <w:tab/>
        <w:t>Konsumi i karburantit të motori</w:t>
      </w:r>
      <w:r>
        <w:rPr>
          <w:szCs w:val="22"/>
        </w:rPr>
        <w:t>t për një kohë të caktuar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 xml:space="preserve">0.70 --- </w:t>
      </w:r>
      <w:r w:rsidRPr="00C54798">
        <w:rPr>
          <w:szCs w:val="22"/>
        </w:rPr>
        <w:tab/>
        <w:t xml:space="preserve">Koeficient </w:t>
      </w:r>
      <w:r>
        <w:rPr>
          <w:szCs w:val="22"/>
        </w:rPr>
        <w:t>mesatar i përdorimit të motorit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HP (max) --</w:t>
      </w:r>
      <w:r w:rsidRPr="00C54798">
        <w:rPr>
          <w:szCs w:val="22"/>
        </w:rPr>
        <w:tab/>
        <w:t>Fuqi maksimale e motorit në HP (kuaj fuqi)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S ---</w:t>
      </w:r>
      <w:r w:rsidRPr="00C54798">
        <w:rPr>
          <w:szCs w:val="22"/>
        </w:rPr>
        <w:tab/>
      </w:r>
      <w:r w:rsidRPr="00C54798">
        <w:rPr>
          <w:szCs w:val="22"/>
        </w:rPr>
        <w:tab/>
        <w:t>Konsumi specifik i motorit sipas llojeve në gr/hp/orë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ab/>
      </w:r>
      <w:r w:rsidRPr="00C54798">
        <w:rPr>
          <w:szCs w:val="22"/>
        </w:rPr>
        <w:tab/>
      </w:r>
      <w:r w:rsidRPr="00C54798">
        <w:rPr>
          <w:szCs w:val="22"/>
        </w:rPr>
        <w:tab/>
      </w:r>
      <w:r w:rsidRPr="00C54798">
        <w:rPr>
          <w:position w:val="-24"/>
          <w:szCs w:val="22"/>
        </w:rPr>
        <w:object w:dxaOrig="1560" w:dyaOrig="620">
          <v:shape id="_x0000_i1026" type="#_x0000_t75" style="width:78pt;height:30.75pt" o:ole="">
            <v:imagedata r:id="rId6" o:title=""/>
          </v:shape>
          <o:OLEObject Type="Embed" ProgID="Equation.3" ShapeID="_x0000_i1026" DrawAspect="Content" ObjectID="_1614252229" r:id="rId7"/>
        </w:object>
      </w: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 xml:space="preserve">D---- </w:t>
      </w:r>
      <w:r w:rsidRPr="00C54798">
        <w:rPr>
          <w:szCs w:val="22"/>
        </w:rPr>
        <w:tab/>
      </w:r>
      <w:r w:rsidRPr="00C54798">
        <w:rPr>
          <w:szCs w:val="22"/>
        </w:rPr>
        <w:tab/>
        <w:t>Densiteti i karburantit = 0.84</w:t>
      </w:r>
    </w:p>
    <w:p w:rsidR="007C58F1" w:rsidRPr="00C54798" w:rsidRDefault="007C58F1" w:rsidP="007C58F1">
      <w:pPr>
        <w:pStyle w:val="Paragrafi"/>
        <w:rPr>
          <w:szCs w:val="22"/>
        </w:rPr>
      </w:pPr>
      <w:r w:rsidRPr="00C54798">
        <w:rPr>
          <w:szCs w:val="22"/>
        </w:rPr>
        <w:t>T-------</w:t>
      </w:r>
      <w:r w:rsidRPr="00C54798">
        <w:rPr>
          <w:szCs w:val="22"/>
        </w:rPr>
        <w:tab/>
      </w:r>
      <w:r w:rsidRPr="00C54798">
        <w:rPr>
          <w:szCs w:val="22"/>
        </w:rPr>
        <w:tab/>
        <w:t>Koha në punë e motorit, (e cila mund të zëvendësohet me distancën e përshkruar në milje, pjesëtuar me shpejtësinë në nyje të anijes)</w:t>
      </w:r>
    </w:p>
    <w:p w:rsidR="007C58F1" w:rsidRPr="00C54798" w:rsidRDefault="007C58F1" w:rsidP="007C58F1">
      <w:pPr>
        <w:pStyle w:val="Paragrafi"/>
        <w:rPr>
          <w:szCs w:val="22"/>
          <w:lang w:val="sq-AL"/>
        </w:rPr>
      </w:pPr>
    </w:p>
    <w:p w:rsidR="007C58F1" w:rsidRPr="00C54798" w:rsidRDefault="007C58F1" w:rsidP="007C58F1">
      <w:pPr>
        <w:pStyle w:val="Paragrafi"/>
        <w:rPr>
          <w:szCs w:val="22"/>
        </w:rPr>
      </w:pPr>
    </w:p>
    <w:p w:rsidR="007C58F1" w:rsidRPr="00C54798" w:rsidRDefault="007C58F1" w:rsidP="007C58F1">
      <w:pPr>
        <w:pStyle w:val="Paragrafi"/>
        <w:rPr>
          <w:szCs w:val="22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C58F1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D0D2D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EFB889-9C2C-48AE-B035-7D12A21A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7C58F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C58F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7C58F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2019-03-16T13:37:00Z</dcterms:created>
  <dcterms:modified xsi:type="dcterms:W3CDTF">2019-03-16T13:37:00Z</dcterms:modified>
</cp:coreProperties>
</file>