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8DB" w:rsidRPr="00804532" w:rsidRDefault="002B38DB" w:rsidP="002B38DB">
      <w:pPr>
        <w:pStyle w:val="Akti"/>
        <w:rPr>
          <w:sz w:val="21"/>
          <w:szCs w:val="21"/>
        </w:rPr>
      </w:pPr>
      <w:bookmarkStart w:id="0" w:name="_GoBack"/>
      <w:bookmarkEnd w:id="0"/>
      <w:r w:rsidRPr="00804532">
        <w:rPr>
          <w:sz w:val="21"/>
          <w:szCs w:val="21"/>
        </w:rPr>
        <w:t xml:space="preserve">Vendim </w:t>
      </w:r>
    </w:p>
    <w:p w:rsidR="002B38DB" w:rsidRPr="00804532" w:rsidRDefault="002B38DB" w:rsidP="002B38DB">
      <w:pPr>
        <w:pStyle w:val="NumriData"/>
        <w:rPr>
          <w:sz w:val="21"/>
          <w:szCs w:val="21"/>
        </w:rPr>
      </w:pPr>
      <w:r w:rsidRPr="00804532">
        <w:rPr>
          <w:sz w:val="21"/>
          <w:szCs w:val="21"/>
        </w:rPr>
        <w:t>Nr.267, datë 10.5.2006</w:t>
      </w:r>
    </w:p>
    <w:p w:rsidR="002B38DB" w:rsidRPr="00CB383C" w:rsidRDefault="002B38DB" w:rsidP="002B38DB">
      <w:pPr>
        <w:pStyle w:val="Paragrafi"/>
        <w:rPr>
          <w:sz w:val="12"/>
          <w:szCs w:val="21"/>
        </w:rPr>
      </w:pPr>
    </w:p>
    <w:p w:rsidR="002B38DB" w:rsidRPr="00804532" w:rsidRDefault="002B38DB" w:rsidP="002B38DB">
      <w:pPr>
        <w:pStyle w:val="Titulli"/>
        <w:rPr>
          <w:sz w:val="21"/>
          <w:szCs w:val="21"/>
        </w:rPr>
      </w:pPr>
      <w:r w:rsidRPr="00804532">
        <w:rPr>
          <w:sz w:val="21"/>
          <w:szCs w:val="21"/>
        </w:rPr>
        <w:t>Për caktimin e ekspertëve financiarë në shoqëritë huamarrëse, në administrim</w:t>
      </w:r>
    </w:p>
    <w:p w:rsidR="002B38DB" w:rsidRPr="00CB383C" w:rsidRDefault="002B38DB" w:rsidP="002B38DB">
      <w:pPr>
        <w:pStyle w:val="Paragrafi"/>
        <w:rPr>
          <w:sz w:val="12"/>
          <w:szCs w:val="21"/>
        </w:rPr>
      </w:pP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Në mbështetje të nenit 100 të Kushtetutës, të nenit 1 të ligjit nr.8215, datë 9.5.1997 “Për kontrollin financiar të personave juridikë jobankarë, që kanë marrë hua nga publiku i gjerë”, të ndryshuar, të ligjit nr.8360, datë 10.6.1998 “Për kriteret dhe mënyrën e shpërndarjes së pasurive të personave juridikë jobankarë që kanë marrë hua nga publiku i gjerë“, të neneve 21 e 27 të ligjit nr.8279, datë 23.7.1998, “Për hartimin dhe zbatimin e Buxhetit të Shtetit në Republikën e Shqipërisë” dhe të nenit 12 të ligjit nr.9464, datë 28.12.2005 “Për Buxhet</w:t>
      </w:r>
      <w:r>
        <w:rPr>
          <w:sz w:val="21"/>
          <w:szCs w:val="21"/>
        </w:rPr>
        <w:t>in e Shtetit</w:t>
      </w:r>
      <w:r w:rsidRPr="00804532">
        <w:rPr>
          <w:sz w:val="21"/>
          <w:szCs w:val="21"/>
        </w:rPr>
        <w:t xml:space="preserve"> të vitit 2006”, me propozimin e Kryeministrit, Këshilli i Ministrave</w:t>
      </w:r>
    </w:p>
    <w:p w:rsidR="002B38DB" w:rsidRPr="00CB383C" w:rsidRDefault="002B38DB" w:rsidP="002B38DB">
      <w:pPr>
        <w:pStyle w:val="VENDOSI"/>
        <w:rPr>
          <w:sz w:val="14"/>
          <w:szCs w:val="21"/>
        </w:rPr>
      </w:pPr>
    </w:p>
    <w:p w:rsidR="002B38DB" w:rsidRPr="00804532" w:rsidRDefault="002B38DB" w:rsidP="002B38DB">
      <w:pPr>
        <w:pStyle w:val="VENDOSI"/>
        <w:rPr>
          <w:sz w:val="21"/>
          <w:szCs w:val="21"/>
        </w:rPr>
      </w:pPr>
      <w:r w:rsidRPr="00804532">
        <w:rPr>
          <w:sz w:val="21"/>
          <w:szCs w:val="21"/>
        </w:rPr>
        <w:t>Vendosi:</w:t>
      </w:r>
    </w:p>
    <w:p w:rsidR="002B38DB" w:rsidRPr="00CB383C" w:rsidRDefault="002B38DB" w:rsidP="002B38DB">
      <w:pPr>
        <w:pStyle w:val="Paragrafi"/>
        <w:rPr>
          <w:sz w:val="12"/>
          <w:szCs w:val="21"/>
        </w:rPr>
      </w:pP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1. Caktimin e 5 ekspertëve financiarë, sipas listës që i bashkëngjitet këtij vendimi, për kontrollin financiar të shoqërive huamarrëse dhe për të kontrolluar nxjerrjen e koeficientit të kthimit të shumave kreditorëve, të shoqërive huamarrëse, në administrim.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2. Shoqëritë huamarrëse, në administrim, dhe institucionet e tjera, që kanë pasur marrëdhënie me to, të vënë në dispozicion të ekspertëve financiarë dokumentacionin e nevojshëm, sipas dispozitave në fuqi.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3. Përcaktimi i numrit të ekspertëve financiarë për secilën shoqëri huamarrëse, në administrim, të bëhet nga Grupi Mbikëqyrës, sipas vëllimit të punës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4. Ekspertët financiarë të punojnë për një periudhë kohe prej 6 muajsh dhe të shpërblehen, secili me 80 000 (tetëdhjetë mijë) lekë në muaj.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5. Efektet financiare, prej 2 400 000 (dy milionë e katërqind mijë) lekësh, që rrjedhin nga zbatimi i këtij vendimi, të përballohen nga fondi rezervë i Këshillit të Ministrave.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6.</w:t>
      </w:r>
      <w:r>
        <w:rPr>
          <w:sz w:val="21"/>
          <w:szCs w:val="21"/>
        </w:rPr>
        <w:t xml:space="preserve"> </w:t>
      </w:r>
      <w:r w:rsidRPr="00804532">
        <w:rPr>
          <w:sz w:val="21"/>
          <w:szCs w:val="21"/>
        </w:rPr>
        <w:t xml:space="preserve">Ngarkohen Grupi Mbikëqyrës dhe administratorët e shoqërive huamarrëse, në administrim, për </w:t>
      </w:r>
      <w:r>
        <w:rPr>
          <w:sz w:val="21"/>
          <w:szCs w:val="21"/>
        </w:rPr>
        <w:t>z</w:t>
      </w:r>
      <w:r w:rsidRPr="00804532">
        <w:rPr>
          <w:sz w:val="21"/>
          <w:szCs w:val="21"/>
        </w:rPr>
        <w:t>batimin e këtij vendimi.</w:t>
      </w:r>
    </w:p>
    <w:p w:rsidR="002B38DB" w:rsidRPr="00804532" w:rsidRDefault="002B38DB" w:rsidP="002B38DB">
      <w:pPr>
        <w:pStyle w:val="Paragrafi"/>
        <w:rPr>
          <w:sz w:val="21"/>
          <w:szCs w:val="21"/>
        </w:rPr>
      </w:pPr>
      <w:r w:rsidRPr="00804532">
        <w:rPr>
          <w:sz w:val="21"/>
          <w:szCs w:val="21"/>
        </w:rPr>
        <w:t>Ky vendim hyn në fuqi pas botimit në Fletoren Zyrtare.</w:t>
      </w:r>
    </w:p>
    <w:p w:rsidR="002B38DB" w:rsidRPr="00804532" w:rsidRDefault="002B38DB" w:rsidP="002B38DB">
      <w:pPr>
        <w:pStyle w:val="Autoriteti"/>
        <w:rPr>
          <w:sz w:val="21"/>
          <w:szCs w:val="21"/>
        </w:rPr>
      </w:pPr>
      <w:r w:rsidRPr="00804532">
        <w:rPr>
          <w:sz w:val="21"/>
          <w:szCs w:val="21"/>
        </w:rPr>
        <w:t>Kryeministri</w:t>
      </w:r>
    </w:p>
    <w:p w:rsidR="002B38DB" w:rsidRPr="00804532" w:rsidRDefault="002B38DB" w:rsidP="002B38DB">
      <w:pPr>
        <w:pStyle w:val="AutoritetiEmer"/>
        <w:rPr>
          <w:sz w:val="21"/>
          <w:szCs w:val="21"/>
        </w:rPr>
      </w:pPr>
      <w:r w:rsidRPr="00804532">
        <w:rPr>
          <w:sz w:val="21"/>
          <w:szCs w:val="21"/>
        </w:rPr>
        <w:t xml:space="preserve">Sali Berisha </w:t>
      </w:r>
    </w:p>
    <w:p w:rsidR="002B38DB" w:rsidRPr="00A67EFE" w:rsidRDefault="002B38DB" w:rsidP="002B38DB">
      <w:pPr>
        <w:pStyle w:val="Paragrafi"/>
        <w:ind w:firstLine="0"/>
        <w:rPr>
          <w:sz w:val="8"/>
          <w:szCs w:val="21"/>
        </w:rPr>
      </w:pPr>
    </w:p>
    <w:p w:rsidR="002B38DB" w:rsidRDefault="002B38DB" w:rsidP="002B38DB">
      <w:pPr>
        <w:pStyle w:val="TitulliTitull"/>
        <w:rPr>
          <w:sz w:val="21"/>
          <w:szCs w:val="21"/>
        </w:rPr>
      </w:pPr>
      <w:r w:rsidRPr="00804532">
        <w:rPr>
          <w:sz w:val="21"/>
          <w:szCs w:val="21"/>
        </w:rPr>
        <w:t>Lista emërore e ekspertëve financiarë të shoqërive huamarrëse</w:t>
      </w:r>
    </w:p>
    <w:p w:rsidR="002B38DB" w:rsidRPr="00A67EFE" w:rsidRDefault="002B38DB" w:rsidP="002B38DB">
      <w:pPr>
        <w:pStyle w:val="TitulliTitull"/>
        <w:rPr>
          <w:sz w:val="16"/>
          <w:szCs w:val="21"/>
        </w:rPr>
      </w:pPr>
    </w:p>
    <w:tbl>
      <w:tblPr>
        <w:tblStyle w:val="TableGrid"/>
        <w:tblW w:w="0" w:type="auto"/>
        <w:jc w:val="center"/>
        <w:tblLook w:val="01E0" w:firstRow="1" w:lastRow="1" w:firstColumn="1" w:lastColumn="1" w:noHBand="0" w:noVBand="0"/>
      </w:tblPr>
      <w:tblGrid>
        <w:gridCol w:w="1919"/>
        <w:gridCol w:w="1695"/>
      </w:tblGrid>
      <w:tr w:rsidR="002B38DB">
        <w:trPr>
          <w:jc w:val="center"/>
        </w:trPr>
        <w:tc>
          <w:tcPr>
            <w:tcW w:w="1919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  <w:r w:rsidRPr="00804532">
              <w:rPr>
                <w:szCs w:val="22"/>
              </w:rPr>
              <w:t>1. Dashnor Kozaj</w:t>
            </w:r>
          </w:p>
        </w:tc>
        <w:tc>
          <w:tcPr>
            <w:tcW w:w="1695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  <w:r w:rsidRPr="00804532">
              <w:rPr>
                <w:szCs w:val="22"/>
              </w:rPr>
              <w:t>4. Vebi Musliu</w:t>
            </w:r>
          </w:p>
        </w:tc>
      </w:tr>
      <w:tr w:rsidR="002B38DB">
        <w:trPr>
          <w:jc w:val="center"/>
        </w:trPr>
        <w:tc>
          <w:tcPr>
            <w:tcW w:w="1919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  <w:r w:rsidRPr="00804532">
              <w:rPr>
                <w:szCs w:val="22"/>
              </w:rPr>
              <w:t>2. Armand Shini</w:t>
            </w:r>
          </w:p>
        </w:tc>
        <w:tc>
          <w:tcPr>
            <w:tcW w:w="1695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  <w:r w:rsidRPr="00804532">
              <w:rPr>
                <w:szCs w:val="22"/>
              </w:rPr>
              <w:t>5. Veis Alizoti</w:t>
            </w:r>
          </w:p>
        </w:tc>
      </w:tr>
      <w:tr w:rsidR="002B38DB">
        <w:trPr>
          <w:jc w:val="center"/>
        </w:trPr>
        <w:tc>
          <w:tcPr>
            <w:tcW w:w="1919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  <w:r w:rsidRPr="00804532">
              <w:rPr>
                <w:szCs w:val="22"/>
              </w:rPr>
              <w:t>3. Arian Saliasi</w:t>
            </w:r>
          </w:p>
        </w:tc>
        <w:tc>
          <w:tcPr>
            <w:tcW w:w="1695" w:type="dxa"/>
          </w:tcPr>
          <w:p w:rsidR="002B38DB" w:rsidRDefault="002B38DB" w:rsidP="002B38DB">
            <w:pPr>
              <w:pStyle w:val="Tabele"/>
              <w:rPr>
                <w:szCs w:val="21"/>
              </w:rPr>
            </w:pPr>
          </w:p>
        </w:tc>
      </w:tr>
    </w:tbl>
    <w:p w:rsidR="002B38DB" w:rsidRPr="00AD4DEF" w:rsidRDefault="002B38DB" w:rsidP="002B38DB"/>
    <w:p w:rsidR="00A0784B" w:rsidRPr="0003399E" w:rsidRDefault="00A0784B" w:rsidP="003941D1">
      <w:pPr>
        <w:pStyle w:val="Paragrafi"/>
        <w:rPr>
          <w:lang w:val="sq-AL"/>
        </w:rPr>
      </w:pPr>
    </w:p>
    <w:sectPr w:rsidR="00A0784B" w:rsidRPr="0003399E" w:rsidSect="002B38DB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41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F05B2">
      <w:r>
        <w:separator/>
      </w:r>
    </w:p>
  </w:endnote>
  <w:endnote w:type="continuationSeparator" w:id="0">
    <w:p w:rsidR="00000000" w:rsidRDefault="00BF0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DB" w:rsidRDefault="002B38DB" w:rsidP="002B38D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B38DB" w:rsidRDefault="002B38DB" w:rsidP="002B38D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8DB" w:rsidRPr="009461DF" w:rsidRDefault="002B38DB" w:rsidP="002B38DB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9461DF">
      <w:rPr>
        <w:rStyle w:val="PageNumber"/>
        <w:rFonts w:ascii="CG Times" w:hAnsi="CG Times"/>
        <w:sz w:val="22"/>
        <w:szCs w:val="22"/>
      </w:rPr>
      <w:fldChar w:fldCharType="begin"/>
    </w:r>
    <w:r w:rsidRPr="009461DF">
      <w:rPr>
        <w:rStyle w:val="PageNumber"/>
        <w:rFonts w:ascii="CG Times" w:hAnsi="CG Times"/>
        <w:sz w:val="22"/>
        <w:szCs w:val="22"/>
      </w:rPr>
      <w:instrText xml:space="preserve">PAGE  </w:instrText>
    </w:r>
    <w:r w:rsidRPr="009461DF">
      <w:rPr>
        <w:rStyle w:val="PageNumber"/>
        <w:rFonts w:ascii="CG Times" w:hAnsi="CG Times"/>
        <w:sz w:val="22"/>
        <w:szCs w:val="22"/>
      </w:rPr>
      <w:fldChar w:fldCharType="separate"/>
    </w:r>
    <w:r w:rsidR="00BF05B2">
      <w:rPr>
        <w:rStyle w:val="PageNumber"/>
        <w:rFonts w:ascii="CG Times" w:hAnsi="CG Times"/>
        <w:noProof/>
        <w:sz w:val="22"/>
        <w:szCs w:val="22"/>
      </w:rPr>
      <w:t>1415</w:t>
    </w:r>
    <w:r w:rsidRPr="009461DF">
      <w:rPr>
        <w:rStyle w:val="PageNumber"/>
        <w:rFonts w:ascii="CG Times" w:hAnsi="CG Times"/>
        <w:sz w:val="22"/>
        <w:szCs w:val="22"/>
      </w:rPr>
      <w:fldChar w:fldCharType="end"/>
    </w:r>
  </w:p>
  <w:p w:rsidR="002B38DB" w:rsidRDefault="002B38DB" w:rsidP="002B38D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F05B2">
      <w:r>
        <w:separator/>
      </w:r>
    </w:p>
  </w:footnote>
  <w:footnote w:type="continuationSeparator" w:id="0">
    <w:p w:rsidR="00000000" w:rsidRDefault="00BF0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B38DB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2CD2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BF05B2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E944BC-CB95-48BB-A34C-9EA93C0A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8DB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utoritetiEmerChar">
    <w:name w:val="Autoriteti_Emer Char"/>
    <w:basedOn w:val="DefaultParagraphFont"/>
    <w:link w:val="AutoritetiEmer"/>
    <w:rsid w:val="002B38D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2B38DB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2B38D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B38DB"/>
  </w:style>
  <w:style w:type="table" w:styleId="TableGrid">
    <w:name w:val="Table Grid"/>
    <w:basedOn w:val="TableNormal"/>
    <w:rsid w:val="002B3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ulliTitullChar">
    <w:name w:val="Titulli_Titull Char"/>
    <w:basedOn w:val="DefaultParagraphFont"/>
    <w:link w:val="TitulliTitull"/>
    <w:rsid w:val="002B38D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2019-03-16T13:40:00Z</dcterms:created>
  <dcterms:modified xsi:type="dcterms:W3CDTF">2019-03-16T13:40:00Z</dcterms:modified>
</cp:coreProperties>
</file>