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8DB" w:rsidRPr="00C3719C" w:rsidRDefault="002B38DB" w:rsidP="002B38DB">
      <w:pPr>
        <w:pStyle w:val="Akt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 xml:space="preserve">Vendim </w:t>
      </w:r>
    </w:p>
    <w:p w:rsidR="002B38DB" w:rsidRPr="00C3719C" w:rsidRDefault="002B38DB" w:rsidP="002B38DB">
      <w:pPr>
        <w:pStyle w:val="NumriData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Nr.</w:t>
      </w:r>
      <w:r w:rsidR="00C3719C" w:rsidRPr="00C3719C">
        <w:rPr>
          <w:rFonts w:ascii="Garamond" w:hAnsi="Garamond"/>
          <w:sz w:val="24"/>
          <w:szCs w:val="24"/>
        </w:rPr>
        <w:t xml:space="preserve"> </w:t>
      </w:r>
      <w:r w:rsidRPr="00C3719C">
        <w:rPr>
          <w:rFonts w:ascii="Garamond" w:hAnsi="Garamond"/>
          <w:sz w:val="24"/>
          <w:szCs w:val="24"/>
        </w:rPr>
        <w:t>267, datë 10.5.2006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</w:p>
    <w:p w:rsidR="002B38DB" w:rsidRPr="00C3719C" w:rsidRDefault="002B38DB" w:rsidP="002B38DB">
      <w:pPr>
        <w:pStyle w:val="Titull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Për caktimin e ekspertëve financiarë në shoqëritë huamarrëse, në administrim</w:t>
      </w:r>
    </w:p>
    <w:p w:rsidR="002B38DB" w:rsidRPr="00C3719C" w:rsidRDefault="00C3719C" w:rsidP="00C371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3719C">
        <w:rPr>
          <w:rFonts w:ascii="Garamond" w:hAnsi="Garamond"/>
          <w:i/>
          <w:sz w:val="24"/>
          <w:szCs w:val="24"/>
        </w:rPr>
        <w:t>(N</w:t>
      </w:r>
      <w:r>
        <w:rPr>
          <w:rFonts w:ascii="Garamond" w:hAnsi="Garamond"/>
          <w:i/>
          <w:sz w:val="24"/>
          <w:szCs w:val="24"/>
        </w:rPr>
        <w:t>d</w:t>
      </w:r>
      <w:r w:rsidRPr="00C3719C">
        <w:rPr>
          <w:rFonts w:ascii="Garamond" w:hAnsi="Garamond"/>
          <w:i/>
          <w:sz w:val="24"/>
          <w:szCs w:val="24"/>
        </w:rPr>
        <w:t>ryshuar me VKM nr. 569, datë 23.8.2006)</w:t>
      </w:r>
    </w:p>
    <w:p w:rsidR="00C3719C" w:rsidRDefault="00C3719C" w:rsidP="00C3719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3719C">
        <w:rPr>
          <w:rFonts w:ascii="Garamond" w:hAnsi="Garamond"/>
          <w:i/>
          <w:sz w:val="24"/>
          <w:szCs w:val="24"/>
        </w:rPr>
        <w:t>(i përditësuar)</w:t>
      </w:r>
    </w:p>
    <w:p w:rsidR="00C3719C" w:rsidRPr="00C3719C" w:rsidRDefault="00C3719C" w:rsidP="00C3719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Në mbështetje të nenit 100 të Kushtetutës, të nenit 1 të ligjit nr.</w:t>
      </w:r>
      <w:r w:rsidR="00C3719C" w:rsidRPr="00C3719C">
        <w:rPr>
          <w:rFonts w:ascii="Garamond" w:hAnsi="Garamond"/>
          <w:sz w:val="24"/>
          <w:szCs w:val="24"/>
        </w:rPr>
        <w:t xml:space="preserve"> </w:t>
      </w:r>
      <w:r w:rsidRPr="00C3719C">
        <w:rPr>
          <w:rFonts w:ascii="Garamond" w:hAnsi="Garamond"/>
          <w:sz w:val="24"/>
          <w:szCs w:val="24"/>
        </w:rPr>
        <w:t>8215, datë 9.5.1997 “Për kontrollin financiar të personave juridikë jobankarë, që kanë marrë hua nga publiku i gjerë”, të ndryshuar, të ligjit nr.</w:t>
      </w:r>
      <w:r w:rsidR="00C3719C" w:rsidRPr="00C3719C">
        <w:rPr>
          <w:rFonts w:ascii="Garamond" w:hAnsi="Garamond"/>
          <w:sz w:val="24"/>
          <w:szCs w:val="24"/>
        </w:rPr>
        <w:t xml:space="preserve"> </w:t>
      </w:r>
      <w:r w:rsidRPr="00C3719C">
        <w:rPr>
          <w:rFonts w:ascii="Garamond" w:hAnsi="Garamond"/>
          <w:sz w:val="24"/>
          <w:szCs w:val="24"/>
        </w:rPr>
        <w:t>8360, datë 10.6.1998 “Për kriteret dhe mënyrën e shpërndarjes së pasurive të personave juridikë jobankarë që kanë marrë hua nga publiku i gjerë“, të neneve 21 e 27 të ligjit nr.</w:t>
      </w:r>
      <w:r w:rsidR="00C3719C" w:rsidRPr="00C3719C">
        <w:rPr>
          <w:rFonts w:ascii="Garamond" w:hAnsi="Garamond"/>
          <w:sz w:val="24"/>
          <w:szCs w:val="24"/>
        </w:rPr>
        <w:t xml:space="preserve"> </w:t>
      </w:r>
      <w:r w:rsidRPr="00C3719C">
        <w:rPr>
          <w:rFonts w:ascii="Garamond" w:hAnsi="Garamond"/>
          <w:sz w:val="24"/>
          <w:szCs w:val="24"/>
        </w:rPr>
        <w:t>8279, datë 23.7.1998, “Për hartimin dhe zbatimin e Buxhetit të Shtetit në Republikën e Shqipërisë” dhe të nenit 12 të ligjit nr.</w:t>
      </w:r>
      <w:r w:rsidR="00C3719C" w:rsidRPr="00C3719C">
        <w:rPr>
          <w:rFonts w:ascii="Garamond" w:hAnsi="Garamond"/>
          <w:sz w:val="24"/>
          <w:szCs w:val="24"/>
        </w:rPr>
        <w:t xml:space="preserve"> </w:t>
      </w:r>
      <w:r w:rsidRPr="00C3719C">
        <w:rPr>
          <w:rFonts w:ascii="Garamond" w:hAnsi="Garamond"/>
          <w:sz w:val="24"/>
          <w:szCs w:val="24"/>
        </w:rPr>
        <w:t>9464, datë 28.12.2005 “Për Buxhetin e Shtetit të vitit 2006”, me propozimin e Kryeministrit, Këshilli i Ministrave</w:t>
      </w:r>
    </w:p>
    <w:p w:rsidR="002B38DB" w:rsidRPr="00C3719C" w:rsidRDefault="002B38DB" w:rsidP="002B38DB">
      <w:pPr>
        <w:pStyle w:val="VENDOSI"/>
        <w:rPr>
          <w:rFonts w:ascii="Garamond" w:hAnsi="Garamond"/>
          <w:sz w:val="24"/>
          <w:szCs w:val="24"/>
        </w:rPr>
      </w:pPr>
    </w:p>
    <w:p w:rsidR="002B38DB" w:rsidRPr="00C3719C" w:rsidRDefault="002B38DB" w:rsidP="002B38DB">
      <w:pPr>
        <w:pStyle w:val="VENDOS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Vendosi: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1. Caktimin e 5 ekspertëve financiarë, sipas listës që i bashkëngjitet këtij vendimi, për kontrollin financiar të shoqërive huamarrëse dhe për të kontrolluar nxjerrjen e koeficientit të kthimit të shumave kreditorëve, të shoqërive huamarrëse, në administrim.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2. Shoqëritë huamarrëse, në administrim, dhe institucionet e tjera, që kanë pasur marrëdhënie me to, të vënë në dispozicion të ekspertëve financiarë dokumentacionin e nevojshëm, sipas dispozitave në fuqi.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3. Përcaktimi i numrit të ekspertëve financiarë për secilën shoqëri huamarrëse, në administrim, të bëhet nga Grupi Mbikëqyrës, sipas vëllimit të punës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4. Ekspertët financiarë të punojnë për një periudhë kohe prej 6 muajsh dhe të shpërblehen, secili me 80 000 (tetëdhjetë mijë) lekë në muaj.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5. Efektet financiare, prej 2 400 000 (dy milionë e katërqind mijë) lekësh, që rrjedhin nga zbatimi i këtij vendimi, të përballohen nga fondi rezervë i Këshillit të Ministrave.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6. Ngarkohen Grupi Mbikëqyrës dhe administratorët e shoqërive huamarrëse, në administrim, për zbatimin e këtij vendimi.</w:t>
      </w:r>
    </w:p>
    <w:p w:rsidR="002B38DB" w:rsidRPr="00C3719C" w:rsidRDefault="002B38DB" w:rsidP="002B38DB">
      <w:pPr>
        <w:pStyle w:val="Paragraf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Ky vendim hyn në fuqi pas botimit në Fletoren Zyrtare.</w:t>
      </w:r>
    </w:p>
    <w:p w:rsidR="002B38DB" w:rsidRPr="00C3719C" w:rsidRDefault="002B38DB" w:rsidP="002B38DB">
      <w:pPr>
        <w:pStyle w:val="Autoriteti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Kryeministri</w:t>
      </w:r>
    </w:p>
    <w:p w:rsidR="002B38DB" w:rsidRPr="00C3719C" w:rsidRDefault="002B38DB" w:rsidP="002B38DB">
      <w:pPr>
        <w:pStyle w:val="AutoritetiEmer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 xml:space="preserve">Sali Berisha </w:t>
      </w:r>
    </w:p>
    <w:p w:rsidR="002B38DB" w:rsidRPr="00C3719C" w:rsidRDefault="002B38DB" w:rsidP="002B38DB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2B38DB" w:rsidRPr="00C3719C" w:rsidRDefault="002B38DB" w:rsidP="002B38DB">
      <w:pPr>
        <w:pStyle w:val="TitulliTitull"/>
        <w:rPr>
          <w:rFonts w:ascii="Garamond" w:hAnsi="Garamond"/>
          <w:sz w:val="24"/>
          <w:szCs w:val="24"/>
        </w:rPr>
      </w:pPr>
      <w:r w:rsidRPr="00C3719C">
        <w:rPr>
          <w:rFonts w:ascii="Garamond" w:hAnsi="Garamond"/>
          <w:sz w:val="24"/>
          <w:szCs w:val="24"/>
        </w:rPr>
        <w:t>Lista emërore e ekspertëve financiarë të shoqërive huamarrëse</w:t>
      </w:r>
    </w:p>
    <w:p w:rsidR="002B38DB" w:rsidRPr="00C3719C" w:rsidRDefault="002B38DB" w:rsidP="002B38DB">
      <w:pPr>
        <w:pStyle w:val="TitulliTitull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919"/>
        <w:gridCol w:w="1695"/>
      </w:tblGrid>
      <w:tr w:rsidR="002B38DB" w:rsidRPr="00C3719C">
        <w:trPr>
          <w:jc w:val="center"/>
        </w:trPr>
        <w:tc>
          <w:tcPr>
            <w:tcW w:w="1919" w:type="dxa"/>
          </w:tcPr>
          <w:p w:rsidR="002B38DB" w:rsidRPr="00C3719C" w:rsidRDefault="002B38DB" w:rsidP="002B38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C3719C">
              <w:rPr>
                <w:rFonts w:ascii="Garamond" w:hAnsi="Garamond"/>
                <w:sz w:val="24"/>
                <w:szCs w:val="24"/>
              </w:rPr>
              <w:t xml:space="preserve">1. </w:t>
            </w:r>
            <w:r w:rsidR="00C3719C" w:rsidRPr="00C3719C">
              <w:rPr>
                <w:rFonts w:ascii="Garamond" w:hAnsi="Garamond"/>
                <w:i/>
                <w:sz w:val="24"/>
                <w:szCs w:val="24"/>
              </w:rPr>
              <w:t>Sabri  Palamani</w:t>
            </w:r>
          </w:p>
        </w:tc>
        <w:tc>
          <w:tcPr>
            <w:tcW w:w="1695" w:type="dxa"/>
          </w:tcPr>
          <w:p w:rsidR="002B38DB" w:rsidRPr="00C3719C" w:rsidRDefault="002B38DB" w:rsidP="002B38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C3719C">
              <w:rPr>
                <w:rFonts w:ascii="Garamond" w:hAnsi="Garamond"/>
                <w:sz w:val="24"/>
                <w:szCs w:val="24"/>
              </w:rPr>
              <w:t>4. Vebi Musliu</w:t>
            </w:r>
          </w:p>
        </w:tc>
      </w:tr>
      <w:tr w:rsidR="002B38DB" w:rsidRPr="00C3719C">
        <w:trPr>
          <w:jc w:val="center"/>
        </w:trPr>
        <w:tc>
          <w:tcPr>
            <w:tcW w:w="1919" w:type="dxa"/>
          </w:tcPr>
          <w:p w:rsidR="002B38DB" w:rsidRPr="00C3719C" w:rsidRDefault="002B38DB" w:rsidP="002B38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C3719C">
              <w:rPr>
                <w:rFonts w:ascii="Garamond" w:hAnsi="Garamond"/>
                <w:sz w:val="24"/>
                <w:szCs w:val="24"/>
              </w:rPr>
              <w:t>2. Armand Shini</w:t>
            </w:r>
          </w:p>
        </w:tc>
        <w:tc>
          <w:tcPr>
            <w:tcW w:w="1695" w:type="dxa"/>
          </w:tcPr>
          <w:p w:rsidR="002B38DB" w:rsidRPr="00C3719C" w:rsidRDefault="002B38DB" w:rsidP="002B38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C3719C">
              <w:rPr>
                <w:rFonts w:ascii="Garamond" w:hAnsi="Garamond"/>
                <w:sz w:val="24"/>
                <w:szCs w:val="24"/>
              </w:rPr>
              <w:t>5. Veis Alizoti</w:t>
            </w:r>
          </w:p>
        </w:tc>
        <w:bookmarkStart w:id="0" w:name="_GoBack"/>
        <w:bookmarkEnd w:id="0"/>
      </w:tr>
      <w:tr w:rsidR="002B38DB" w:rsidRPr="00C3719C">
        <w:trPr>
          <w:jc w:val="center"/>
        </w:trPr>
        <w:tc>
          <w:tcPr>
            <w:tcW w:w="1919" w:type="dxa"/>
          </w:tcPr>
          <w:p w:rsidR="002B38DB" w:rsidRPr="00C3719C" w:rsidRDefault="002B38DB" w:rsidP="002B38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C3719C">
              <w:rPr>
                <w:rFonts w:ascii="Garamond" w:hAnsi="Garamond"/>
                <w:sz w:val="24"/>
                <w:szCs w:val="24"/>
              </w:rPr>
              <w:t>3. Arian Saliasi</w:t>
            </w:r>
          </w:p>
        </w:tc>
        <w:tc>
          <w:tcPr>
            <w:tcW w:w="1695" w:type="dxa"/>
          </w:tcPr>
          <w:p w:rsidR="002B38DB" w:rsidRPr="00C3719C" w:rsidRDefault="002B38DB" w:rsidP="002B38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2B38DB" w:rsidRPr="00C3719C" w:rsidRDefault="002B38DB" w:rsidP="002B38DB">
      <w:pPr>
        <w:rPr>
          <w:rFonts w:ascii="Garamond" w:hAnsi="Garamond"/>
          <w:sz w:val="24"/>
          <w:szCs w:val="24"/>
        </w:rPr>
      </w:pPr>
    </w:p>
    <w:p w:rsidR="00A0784B" w:rsidRPr="00C3719C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C3719C" w:rsidSect="002B38DB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4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5E8" w:rsidRDefault="006E25E8">
      <w:r>
        <w:separator/>
      </w:r>
    </w:p>
  </w:endnote>
  <w:endnote w:type="continuationSeparator" w:id="0">
    <w:p w:rsidR="006E25E8" w:rsidRDefault="006E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8DB" w:rsidRDefault="002B38DB" w:rsidP="002B38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38DB" w:rsidRDefault="002B38DB" w:rsidP="002B38D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8DB" w:rsidRPr="009461DF" w:rsidRDefault="002B38DB" w:rsidP="002B38D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461DF">
      <w:rPr>
        <w:rStyle w:val="PageNumber"/>
        <w:rFonts w:ascii="CG Times" w:hAnsi="CG Times"/>
        <w:sz w:val="22"/>
        <w:szCs w:val="22"/>
      </w:rPr>
      <w:fldChar w:fldCharType="begin"/>
    </w:r>
    <w:r w:rsidRPr="009461D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461DF">
      <w:rPr>
        <w:rStyle w:val="PageNumber"/>
        <w:rFonts w:ascii="CG Times" w:hAnsi="CG Times"/>
        <w:sz w:val="22"/>
        <w:szCs w:val="22"/>
      </w:rPr>
      <w:fldChar w:fldCharType="separate"/>
    </w:r>
    <w:r w:rsidR="00C3719C">
      <w:rPr>
        <w:rStyle w:val="PageNumber"/>
        <w:rFonts w:ascii="CG Times" w:hAnsi="CG Times"/>
        <w:noProof/>
        <w:sz w:val="22"/>
        <w:szCs w:val="22"/>
      </w:rPr>
      <w:t>1415</w:t>
    </w:r>
    <w:r w:rsidRPr="009461DF">
      <w:rPr>
        <w:rStyle w:val="PageNumber"/>
        <w:rFonts w:ascii="CG Times" w:hAnsi="CG Times"/>
        <w:sz w:val="22"/>
        <w:szCs w:val="22"/>
      </w:rPr>
      <w:fldChar w:fldCharType="end"/>
    </w:r>
  </w:p>
  <w:p w:rsidR="002B38DB" w:rsidRDefault="002B38DB" w:rsidP="002B38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5E8" w:rsidRDefault="006E25E8">
      <w:r>
        <w:separator/>
      </w:r>
    </w:p>
  </w:footnote>
  <w:footnote w:type="continuationSeparator" w:id="0">
    <w:p w:rsidR="006E25E8" w:rsidRDefault="006E2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B38DB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25E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05B2"/>
    <w:rsid w:val="00C22BA7"/>
    <w:rsid w:val="00C36B40"/>
    <w:rsid w:val="00C3719C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17E45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54635"/>
  <w15:chartTrackingRefBased/>
  <w15:docId w15:val="{87E944BC-CB95-48BB-A34C-9EA93C0A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8D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B38D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38DB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B38D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38DB"/>
  </w:style>
  <w:style w:type="table" w:styleId="TableGrid">
    <w:name w:val="Table Grid"/>
    <w:basedOn w:val="TableNormal"/>
    <w:rsid w:val="002B3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2B38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2025-10-29T12:11:00Z</dcterms:created>
  <dcterms:modified xsi:type="dcterms:W3CDTF">2025-10-29T12:11:00Z</dcterms:modified>
</cp:coreProperties>
</file>