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ACE" w:rsidRPr="00300CDD" w:rsidRDefault="00B67ACE" w:rsidP="00B67ACE">
      <w:pPr>
        <w:pStyle w:val="Akti"/>
      </w:pPr>
      <w:bookmarkStart w:id="0" w:name="_GoBack"/>
      <w:bookmarkEnd w:id="0"/>
      <w:r w:rsidRPr="00300CDD">
        <w:t>Vendim</w:t>
      </w:r>
    </w:p>
    <w:p w:rsidR="00B67ACE" w:rsidRPr="00300CDD" w:rsidRDefault="00B67ACE" w:rsidP="00B67ACE">
      <w:pPr>
        <w:pStyle w:val="NumriData"/>
        <w:rPr>
          <w:szCs w:val="22"/>
        </w:rPr>
      </w:pPr>
      <w:r w:rsidRPr="00300CDD">
        <w:rPr>
          <w:szCs w:val="22"/>
        </w:rPr>
        <w:t>Nr.297, datë 24.5.2006</w:t>
      </w:r>
    </w:p>
    <w:p w:rsidR="00B67ACE" w:rsidRPr="00300CDD" w:rsidRDefault="00B67ACE" w:rsidP="00B67ACE">
      <w:pPr>
        <w:pStyle w:val="Paragrafi"/>
        <w:rPr>
          <w:szCs w:val="22"/>
        </w:rPr>
      </w:pPr>
    </w:p>
    <w:p w:rsidR="00B67ACE" w:rsidRPr="00300CDD" w:rsidRDefault="00B67ACE" w:rsidP="00B67ACE">
      <w:pPr>
        <w:pStyle w:val="Titulli"/>
      </w:pPr>
      <w:r w:rsidRPr="00300CDD">
        <w:t>Për disa shtesa dhe ndryshime në rregulloren e zbatimit të kodit rrugor të republikës së shqipërisë, miratuar me vendimin nr.153, datë 7.4.2000 të këshillit të ministrave</w:t>
      </w:r>
    </w:p>
    <w:p w:rsidR="00B67ACE" w:rsidRPr="00300CDD" w:rsidRDefault="00B67ACE" w:rsidP="00B67ACE">
      <w:pPr>
        <w:pStyle w:val="Paragrafi"/>
        <w:rPr>
          <w:szCs w:val="22"/>
        </w:rPr>
      </w:pPr>
    </w:p>
    <w:p w:rsidR="00B67ACE" w:rsidRPr="00300CDD" w:rsidRDefault="00B67ACE" w:rsidP="00B67ACE">
      <w:pPr>
        <w:pStyle w:val="BazLigjPropozues"/>
      </w:pPr>
      <w:r w:rsidRPr="00300CDD">
        <w:t>Në mbështetje të nenit 100 të Kushtetutës dhe të ligjit nr.8378, datë 22.7.1998 “Kodi Rrugor i Republikës së Shqipërisë”, të ndryshuar, me propozimin e Ministrit të Punëve Publike, Transportit dhe Telekomunikacionit, Këshilli i Ministrave</w:t>
      </w:r>
    </w:p>
    <w:p w:rsidR="00B67ACE" w:rsidRPr="00300CDD" w:rsidRDefault="00B67ACE" w:rsidP="00B67ACE">
      <w:pPr>
        <w:pStyle w:val="Paragrafi"/>
        <w:rPr>
          <w:szCs w:val="22"/>
        </w:rPr>
      </w:pPr>
    </w:p>
    <w:p w:rsidR="00B67ACE" w:rsidRPr="00300CDD" w:rsidRDefault="00B67ACE" w:rsidP="00B67ACE">
      <w:pPr>
        <w:pStyle w:val="VENDOSI"/>
      </w:pPr>
      <w:r w:rsidRPr="00300CDD">
        <w:t>Vendosi:</w:t>
      </w:r>
    </w:p>
    <w:p w:rsidR="00B67ACE" w:rsidRPr="00300CDD" w:rsidRDefault="00B67ACE" w:rsidP="00B67ACE">
      <w:pPr>
        <w:pStyle w:val="Paragrafi"/>
        <w:rPr>
          <w:szCs w:val="22"/>
        </w:rPr>
      </w:pPr>
    </w:p>
    <w:p w:rsidR="00B67ACE" w:rsidRPr="00300CDD" w:rsidRDefault="00B67ACE" w:rsidP="00B67ACE">
      <w:pPr>
        <w:pStyle w:val="Paragrafi"/>
        <w:rPr>
          <w:szCs w:val="22"/>
        </w:rPr>
      </w:pPr>
      <w:r w:rsidRPr="00300CDD">
        <w:rPr>
          <w:szCs w:val="22"/>
        </w:rPr>
        <w:t>Në rregulloren e zbatimit të Kodit Rrugor të Republikës së Shqipërisë, miratuar me vendimin nr.153, datë 7.4.2000 të Këshillit të Ministrave, të bëhen këto shtesa dhe ndryshime:</w:t>
      </w:r>
    </w:p>
    <w:p w:rsidR="00B67ACE" w:rsidRPr="00300CDD" w:rsidRDefault="00B67ACE" w:rsidP="00B67ACE">
      <w:pPr>
        <w:pStyle w:val="Paragrafi"/>
        <w:ind w:left="720" w:firstLine="0"/>
        <w:rPr>
          <w:szCs w:val="22"/>
        </w:rPr>
      </w:pPr>
      <w:r>
        <w:rPr>
          <w:szCs w:val="22"/>
        </w:rPr>
        <w:t>1.</w:t>
      </w:r>
      <w:r w:rsidRPr="00300CDD">
        <w:rPr>
          <w:szCs w:val="22"/>
        </w:rPr>
        <w:t>Pas nenit 346 shtohet neni 346/1, me këtë përmbajtje:</w:t>
      </w:r>
    </w:p>
    <w:p w:rsidR="00B67ACE" w:rsidRPr="00300CDD" w:rsidRDefault="00B67ACE" w:rsidP="00B67ACE">
      <w:pPr>
        <w:pStyle w:val="Paragrafi"/>
        <w:ind w:firstLine="0"/>
        <w:rPr>
          <w:szCs w:val="22"/>
        </w:rPr>
      </w:pPr>
    </w:p>
    <w:p w:rsidR="00B67ACE" w:rsidRPr="00300CDD" w:rsidRDefault="00B67ACE" w:rsidP="00B67ACE">
      <w:pPr>
        <w:pStyle w:val="NeniNr"/>
        <w:rPr>
          <w:szCs w:val="22"/>
        </w:rPr>
      </w:pPr>
      <w:r w:rsidRPr="00300CDD">
        <w:rPr>
          <w:szCs w:val="22"/>
        </w:rPr>
        <w:t xml:space="preserve"> “Neni 346/1</w:t>
      </w:r>
    </w:p>
    <w:p w:rsidR="00B67ACE" w:rsidRDefault="00B67ACE" w:rsidP="00B67ACE">
      <w:pPr>
        <w:pStyle w:val="NeniTitull"/>
      </w:pPr>
      <w:r w:rsidRPr="00300CDD">
        <w:t>Instrumentet e testimit dhe të evidentimit (Neni 198 i Kodit Rrugor)</w:t>
      </w:r>
    </w:p>
    <w:p w:rsidR="00B67ACE" w:rsidRPr="00300CDD" w:rsidRDefault="00B67ACE" w:rsidP="00B67ACE">
      <w:pPr>
        <w:pStyle w:val="Paragrafi"/>
        <w:rPr>
          <w:szCs w:val="22"/>
        </w:rPr>
      </w:pPr>
    </w:p>
    <w:p w:rsidR="00B67ACE" w:rsidRDefault="00B67ACE" w:rsidP="00B67ACE">
      <w:pPr>
        <w:pStyle w:val="Paragrafi"/>
        <w:rPr>
          <w:szCs w:val="22"/>
        </w:rPr>
      </w:pPr>
      <w:r w:rsidRPr="00300CDD">
        <w:rPr>
          <w:szCs w:val="22"/>
        </w:rPr>
        <w:t>Çdo instrument që përdoret nga organet e kontrollit për evidentimin e shkeljeve duhet të jetë i homologuar, në përputhje me standardet e BE-së.”.</w:t>
      </w:r>
    </w:p>
    <w:p w:rsidR="00B67ACE" w:rsidRPr="00300CDD" w:rsidRDefault="00B67ACE" w:rsidP="00B67ACE">
      <w:pPr>
        <w:pStyle w:val="Paragrafi"/>
        <w:rPr>
          <w:szCs w:val="22"/>
        </w:rPr>
      </w:pPr>
      <w:r w:rsidRPr="00300CDD">
        <w:rPr>
          <w:szCs w:val="22"/>
        </w:rPr>
        <w:t>2. Pas pikës 4 të nenit 349, shtohet pika 5, me këtë përmbajtje:</w:t>
      </w:r>
    </w:p>
    <w:p w:rsidR="00B67ACE" w:rsidRPr="00300CDD" w:rsidRDefault="00B67ACE" w:rsidP="00B67ACE">
      <w:pPr>
        <w:pStyle w:val="Paragrafi"/>
        <w:rPr>
          <w:szCs w:val="22"/>
        </w:rPr>
      </w:pPr>
      <w:r w:rsidRPr="00300CDD">
        <w:rPr>
          <w:szCs w:val="22"/>
        </w:rPr>
        <w:t>“5. Procesverbali për mjetet, ngarkesa e të cilave tejkalon masën e lejuar, duhet të jetë sipas “Modeli VI.2”, që i bashkëlidhet kësaj rregulloreje.”.</w:t>
      </w:r>
    </w:p>
    <w:p w:rsidR="00B67ACE" w:rsidRDefault="00B67ACE" w:rsidP="00B67ACE">
      <w:pPr>
        <w:pStyle w:val="Paragrafi"/>
        <w:rPr>
          <w:szCs w:val="22"/>
        </w:rPr>
      </w:pPr>
      <w:r w:rsidRPr="00300CDD">
        <w:rPr>
          <w:szCs w:val="22"/>
        </w:rPr>
        <w:t>3. Rregullores i shtohet dhe “Modeli VI.2”, që i bashkëlidhet këtij vendimi.</w:t>
      </w:r>
    </w:p>
    <w:p w:rsidR="00B67ACE" w:rsidRPr="00300CDD" w:rsidRDefault="00B67ACE" w:rsidP="00B67ACE">
      <w:pPr>
        <w:pStyle w:val="Paragrafi"/>
        <w:rPr>
          <w:szCs w:val="22"/>
        </w:rPr>
      </w:pPr>
    </w:p>
    <w:p w:rsidR="00B67ACE" w:rsidRPr="00300CDD" w:rsidRDefault="00B67ACE" w:rsidP="00B67ACE">
      <w:pPr>
        <w:pStyle w:val="Paragrafi"/>
        <w:rPr>
          <w:szCs w:val="22"/>
        </w:rPr>
      </w:pPr>
      <w:r w:rsidRPr="00300CDD">
        <w:rPr>
          <w:szCs w:val="22"/>
        </w:rPr>
        <w:t>4. “Modeli IV.8, i nenit 369”, që i bashkëlidhet rregullores, zëvendësohet me “Modeli IV.8/a”, që i bashkëlidhet këtij vendimi.</w:t>
      </w:r>
    </w:p>
    <w:p w:rsidR="00B67ACE" w:rsidRPr="00300CDD" w:rsidRDefault="00B67ACE" w:rsidP="00B67ACE">
      <w:pPr>
        <w:pStyle w:val="Paragrafi"/>
        <w:rPr>
          <w:szCs w:val="22"/>
        </w:rPr>
      </w:pPr>
      <w:r w:rsidRPr="00300CDD">
        <w:rPr>
          <w:szCs w:val="22"/>
        </w:rPr>
        <w:t>Ky vendim hyn në fuqi pas botimit në Fletoren Zyrtare.</w:t>
      </w:r>
    </w:p>
    <w:p w:rsidR="00B67ACE" w:rsidRPr="00300CDD" w:rsidRDefault="00B67ACE" w:rsidP="00B67ACE">
      <w:pPr>
        <w:pStyle w:val="Autoriteti"/>
      </w:pPr>
    </w:p>
    <w:p w:rsidR="00B67ACE" w:rsidRPr="00300CDD" w:rsidRDefault="00B67ACE" w:rsidP="00B67ACE">
      <w:pPr>
        <w:pStyle w:val="Autoriteti"/>
      </w:pPr>
      <w:r w:rsidRPr="00300CDD">
        <w:t>KRYEMINISTRI</w:t>
      </w:r>
    </w:p>
    <w:p w:rsidR="00B67ACE" w:rsidRPr="00300CDD" w:rsidRDefault="00B67ACE" w:rsidP="00B67ACE">
      <w:pPr>
        <w:pStyle w:val="AutoritetiEmer"/>
      </w:pPr>
      <w:r w:rsidRPr="00300CDD">
        <w:t xml:space="preserve">Sali Berisha </w:t>
      </w:r>
    </w:p>
    <w:p w:rsidR="00B67ACE" w:rsidRPr="00300CDD" w:rsidRDefault="00B67ACE" w:rsidP="00B67ACE">
      <w:pPr>
        <w:rPr>
          <w:sz w:val="22"/>
          <w:szCs w:val="22"/>
          <w:lang w:val="en-GB"/>
        </w:rPr>
      </w:pPr>
    </w:p>
    <w:p w:rsidR="00B67ACE" w:rsidRDefault="00B67ACE" w:rsidP="00B67ACE">
      <w:pPr>
        <w:rPr>
          <w:lang w:val="en-GB"/>
        </w:rPr>
      </w:pPr>
    </w:p>
    <w:p w:rsidR="00B67ACE" w:rsidRPr="000765FC" w:rsidRDefault="00B67ACE" w:rsidP="00B67ACE">
      <w:pPr>
        <w:rPr>
          <w:lang w:val="en-GB"/>
        </w:rPr>
      </w:pPr>
    </w:p>
    <w:p w:rsidR="00B67ACE" w:rsidRDefault="00B67ACE" w:rsidP="00B67ACE">
      <w:pPr>
        <w:pStyle w:val="Paragrafi"/>
      </w:pPr>
    </w:p>
    <w:p w:rsidR="00B67ACE" w:rsidRDefault="002E0F46" w:rsidP="00B67ACE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6831330"/>
            <wp:effectExtent l="0" t="0" r="0" b="762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3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ACE" w:rsidRDefault="00B67ACE" w:rsidP="00B67ACE">
      <w:pPr>
        <w:pStyle w:val="Figure"/>
      </w:pPr>
    </w:p>
    <w:p w:rsidR="00B67ACE" w:rsidRDefault="00B67ACE" w:rsidP="00B67ACE">
      <w:pPr>
        <w:pStyle w:val="Figure"/>
      </w:pPr>
    </w:p>
    <w:p w:rsidR="00B67ACE" w:rsidRDefault="002E0F46" w:rsidP="00B67ACE">
      <w:pPr>
        <w:pStyle w:val="Figure"/>
      </w:pPr>
      <w:r w:rsidRPr="00171CBB">
        <w:rPr>
          <w:noProof/>
          <w:lang w:val="en-GB" w:eastAsia="en-GB"/>
        </w:rPr>
        <w:lastRenderedPageBreak/>
        <w:drawing>
          <wp:inline distT="0" distB="0" distL="0" distR="0">
            <wp:extent cx="5762625" cy="85153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ACE" w:rsidRDefault="00B67ACE" w:rsidP="00B67ACE">
      <w:pPr>
        <w:pStyle w:val="Figure"/>
      </w:pPr>
    </w:p>
    <w:p w:rsidR="00B67ACE" w:rsidRDefault="00B67ACE" w:rsidP="00B67ACE">
      <w:pPr>
        <w:pStyle w:val="Figure"/>
      </w:pPr>
    </w:p>
    <w:p w:rsidR="00B67ACE" w:rsidRDefault="00B67ACE" w:rsidP="00B67ACE">
      <w:pPr>
        <w:pStyle w:val="Figure"/>
      </w:pPr>
    </w:p>
    <w:p w:rsidR="00B67ACE" w:rsidRDefault="002E0F46" w:rsidP="00B67ACE">
      <w:pPr>
        <w:pStyle w:val="Figure"/>
      </w:pPr>
      <w:r w:rsidRPr="00012521">
        <w:rPr>
          <w:noProof/>
          <w:lang w:val="en-GB" w:eastAsia="en-GB"/>
        </w:rPr>
        <w:lastRenderedPageBreak/>
        <w:drawing>
          <wp:inline distT="0" distB="0" distL="0" distR="0">
            <wp:extent cx="5762625" cy="80581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ACE" w:rsidRDefault="00B67ACE" w:rsidP="00B67ACE">
      <w:pPr>
        <w:pStyle w:val="Figure"/>
      </w:pPr>
    </w:p>
    <w:p w:rsidR="00B67ACE" w:rsidRDefault="00B67ACE" w:rsidP="00B67ACE">
      <w:pPr>
        <w:pStyle w:val="Figure"/>
      </w:pPr>
    </w:p>
    <w:p w:rsidR="00B67ACE" w:rsidRDefault="002E0F46" w:rsidP="00B67ACE">
      <w:pPr>
        <w:pStyle w:val="Figure"/>
      </w:pPr>
      <w:r w:rsidRPr="00012521">
        <w:rPr>
          <w:noProof/>
          <w:lang w:val="en-GB" w:eastAsia="en-GB"/>
        </w:rPr>
        <w:drawing>
          <wp:inline distT="0" distB="0" distL="0" distR="0">
            <wp:extent cx="5753100" cy="38004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ACE" w:rsidRDefault="00B67ACE" w:rsidP="00B67ACE">
      <w:pPr>
        <w:pStyle w:val="Figure"/>
      </w:pPr>
    </w:p>
    <w:p w:rsidR="00B67ACE" w:rsidRDefault="00B67ACE" w:rsidP="00B67ACE">
      <w:pPr>
        <w:pStyle w:val="Figure"/>
      </w:pPr>
    </w:p>
    <w:p w:rsidR="00B67ACE" w:rsidRPr="0037048C" w:rsidRDefault="002E0F46" w:rsidP="00B67ACE">
      <w:pPr>
        <w:pStyle w:val="Figure"/>
      </w:pPr>
      <w:r w:rsidRPr="00012521">
        <w:rPr>
          <w:noProof/>
          <w:lang w:val="en-GB" w:eastAsia="en-GB"/>
        </w:rPr>
        <w:drawing>
          <wp:inline distT="0" distB="0" distL="0" distR="0">
            <wp:extent cx="5762625" cy="14001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ACE" w:rsidRPr="000326D6" w:rsidRDefault="00B67ACE" w:rsidP="00B67ACE">
      <w:pPr>
        <w:rPr>
          <w:lang w:val="en-GB"/>
        </w:rPr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2E0F46"/>
    <w:rsid w:val="005F0A5E"/>
    <w:rsid w:val="007A4CCA"/>
    <w:rsid w:val="00B67ACE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C14AE9-95CD-4819-A4C7-62A7C99F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ACE"/>
    <w:rPr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B67AC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67AC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67AC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