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541D" w:rsidRPr="00C2269B" w:rsidRDefault="00AB541D" w:rsidP="00AB541D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C2269B">
        <w:rPr>
          <w:sz w:val="21"/>
          <w:szCs w:val="21"/>
        </w:rPr>
        <w:t>VENDIM</w:t>
      </w:r>
    </w:p>
    <w:p w:rsidR="00AB541D" w:rsidRPr="00C2269B" w:rsidRDefault="00AB541D" w:rsidP="00AB541D">
      <w:pPr>
        <w:pStyle w:val="NumriData"/>
        <w:rPr>
          <w:sz w:val="21"/>
          <w:szCs w:val="21"/>
        </w:rPr>
      </w:pPr>
      <w:r w:rsidRPr="00C2269B">
        <w:rPr>
          <w:sz w:val="21"/>
          <w:szCs w:val="21"/>
        </w:rPr>
        <w:t>Nr.365, datë 14.6.2006</w:t>
      </w:r>
    </w:p>
    <w:p w:rsidR="00AB541D" w:rsidRPr="00C2269B" w:rsidRDefault="00AB541D" w:rsidP="00AB541D">
      <w:pPr>
        <w:pStyle w:val="Paragrafi"/>
        <w:rPr>
          <w:sz w:val="21"/>
          <w:szCs w:val="21"/>
        </w:rPr>
      </w:pPr>
    </w:p>
    <w:p w:rsidR="00AB541D" w:rsidRPr="00C2269B" w:rsidRDefault="00AB541D" w:rsidP="00AB541D">
      <w:pPr>
        <w:pStyle w:val="Titulli"/>
        <w:keepNext w:val="0"/>
        <w:rPr>
          <w:sz w:val="21"/>
          <w:szCs w:val="21"/>
        </w:rPr>
      </w:pPr>
      <w:r w:rsidRPr="00C2269B">
        <w:rPr>
          <w:sz w:val="21"/>
          <w:szCs w:val="21"/>
        </w:rPr>
        <w:t>PËR DISA NDRYSHIME NË VENDIMIN NR.108, DATË 11.2.2005 TË KËSHILLIT TË MINISTRAVE “PËR MËNYRËN E ORGANIZIMIT, TË FUNKSIONIMIT DHE PAGAT E PUNONJËSVE TË DREJTORISË SË PËRGJITHSHME TË PARANDALIMIT TË PASTRIMIT TË PARAVE”</w:t>
      </w:r>
    </w:p>
    <w:p w:rsidR="00AB541D" w:rsidRPr="00C2269B" w:rsidRDefault="00AB541D" w:rsidP="00AB541D">
      <w:pPr>
        <w:pStyle w:val="Paragrafi"/>
        <w:rPr>
          <w:sz w:val="21"/>
          <w:szCs w:val="21"/>
        </w:rPr>
      </w:pPr>
    </w:p>
    <w:p w:rsidR="00AB541D" w:rsidRPr="00C2269B" w:rsidRDefault="00AB541D" w:rsidP="00AB541D">
      <w:pPr>
        <w:pStyle w:val="BazLigjPropozues"/>
        <w:keepNext w:val="0"/>
        <w:rPr>
          <w:sz w:val="21"/>
          <w:szCs w:val="21"/>
        </w:rPr>
      </w:pPr>
      <w:r w:rsidRPr="00C2269B">
        <w:rPr>
          <w:sz w:val="21"/>
          <w:szCs w:val="21"/>
        </w:rPr>
        <w:t>Në mbështetje të nenit 100 të Kushtetutës, të nenit 7 të ligjit nr.8610, datë 17.5.2000 “Për parandalimin e pastrimit të parave”, të ndryshuar, të nenit 5/1 të ligjit nr.8487, datë 13.5.1999 “Për kompetencat për caktimin e pagave të punës”, të ndryshuar, dhe të ligjit nr.9464, datë 28.12.2005 “Për Buxhetin e Shtetit të vitit 2006”, me propozimin e Ministrit të Brendshëm dhe të Ministrit të Financave, Këshilli i Ministrave</w:t>
      </w:r>
    </w:p>
    <w:p w:rsidR="00AB541D" w:rsidRPr="00C2269B" w:rsidRDefault="00AB541D" w:rsidP="00AB541D">
      <w:pPr>
        <w:pStyle w:val="Paragrafi"/>
        <w:rPr>
          <w:sz w:val="21"/>
          <w:szCs w:val="21"/>
        </w:rPr>
      </w:pPr>
    </w:p>
    <w:p w:rsidR="00AB541D" w:rsidRPr="00C2269B" w:rsidRDefault="00AB541D" w:rsidP="00AB541D">
      <w:pPr>
        <w:pStyle w:val="VENDOSI"/>
        <w:keepNext w:val="0"/>
        <w:rPr>
          <w:sz w:val="21"/>
          <w:szCs w:val="21"/>
        </w:rPr>
      </w:pPr>
      <w:r w:rsidRPr="00C2269B">
        <w:rPr>
          <w:sz w:val="21"/>
          <w:szCs w:val="21"/>
        </w:rPr>
        <w:t xml:space="preserve">VENDOSI: </w:t>
      </w:r>
    </w:p>
    <w:p w:rsidR="00AB541D" w:rsidRPr="00C2269B" w:rsidRDefault="00AB541D" w:rsidP="00AB541D">
      <w:pPr>
        <w:pStyle w:val="Paragrafi"/>
        <w:rPr>
          <w:sz w:val="21"/>
          <w:szCs w:val="21"/>
        </w:rPr>
      </w:pPr>
    </w:p>
    <w:p w:rsidR="00AB541D" w:rsidRPr="00C2269B" w:rsidRDefault="00AB541D" w:rsidP="00AB541D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>1. Në vendimin nr.108, datë 11.2.2005 të Këshillit të Ministrave, të bëhen këto ndryshime:</w:t>
      </w:r>
    </w:p>
    <w:p w:rsidR="00AB541D" w:rsidRPr="00C2269B" w:rsidRDefault="00AB541D" w:rsidP="00AB541D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a) Në pikën 7, lidhja nr.1 zëvendësohet me lidhjen me të njëjtin numër dhe titull, që i bashkëlidhet këtij vendimi dhe është pjesë përbërëse e tij. </w:t>
      </w:r>
    </w:p>
    <w:p w:rsidR="00AB541D" w:rsidRPr="00C2269B" w:rsidRDefault="00AB541D" w:rsidP="00AB541D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>b) Në pikën 7.1 vlera “… 9306 (nëntë mijë e treqind e gjashtë) lekë…” zëvendësohet me vlerën “… 10 050 (dhjetë mijë e pesëdhjetë) lekë…”.</w:t>
      </w:r>
    </w:p>
    <w:p w:rsidR="00AB541D" w:rsidRPr="00C2269B" w:rsidRDefault="00AB541D" w:rsidP="00AB541D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2. Të gjitha dispozitat, që bien në kundërshtim me këtë vendim, shfuqizohen. </w:t>
      </w:r>
    </w:p>
    <w:p w:rsidR="00AB541D" w:rsidRPr="00C2269B" w:rsidRDefault="00AB541D" w:rsidP="00AB541D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3. Efektet financiare, që rrjedhin nga zbatimi i këtij vendimi, për vitin 2006, të përballohen nga fondet e planifikuara për reformën dhe rritjen e pagave. </w:t>
      </w:r>
    </w:p>
    <w:p w:rsidR="00AB541D" w:rsidRPr="00C2269B" w:rsidRDefault="00AB541D" w:rsidP="00AB541D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>Ky vendim hyn në fuqi pas botimit në Fletoren Zyrtare dhe i shtrin efektet financiare nga data 1 korrik 2006.</w:t>
      </w:r>
    </w:p>
    <w:p w:rsidR="00AB541D" w:rsidRPr="00C2269B" w:rsidRDefault="00AB541D" w:rsidP="00AB541D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 </w:t>
      </w:r>
    </w:p>
    <w:p w:rsidR="00AB541D" w:rsidRPr="00C2269B" w:rsidRDefault="00AB541D" w:rsidP="00AB541D">
      <w:pPr>
        <w:pStyle w:val="Autoriteti"/>
        <w:keepNext w:val="0"/>
        <w:rPr>
          <w:sz w:val="21"/>
          <w:szCs w:val="21"/>
        </w:rPr>
      </w:pPr>
      <w:r w:rsidRPr="00C2269B">
        <w:rPr>
          <w:sz w:val="21"/>
          <w:szCs w:val="21"/>
        </w:rPr>
        <w:t>Kryeministri</w:t>
      </w:r>
    </w:p>
    <w:p w:rsidR="00AB541D" w:rsidRPr="00C2269B" w:rsidRDefault="00AB541D" w:rsidP="00AB541D">
      <w:pPr>
        <w:pStyle w:val="AutoritetiEmer"/>
        <w:rPr>
          <w:sz w:val="21"/>
          <w:szCs w:val="21"/>
        </w:rPr>
      </w:pPr>
      <w:r w:rsidRPr="00C2269B">
        <w:rPr>
          <w:sz w:val="21"/>
          <w:szCs w:val="21"/>
        </w:rPr>
        <w:t>Sali Berisha</w:t>
      </w:r>
    </w:p>
    <w:p w:rsidR="00AB541D" w:rsidRPr="00C2269B" w:rsidRDefault="00AB541D" w:rsidP="00AB541D">
      <w:pPr>
        <w:pStyle w:val="Paragrafi"/>
        <w:rPr>
          <w:lang w:val="en-GB"/>
        </w:rPr>
      </w:pPr>
    </w:p>
    <w:p w:rsidR="00AB541D" w:rsidRPr="00C2269B" w:rsidRDefault="00AB541D" w:rsidP="00AB541D">
      <w:pPr>
        <w:pStyle w:val="Paragrafi"/>
        <w:jc w:val="right"/>
      </w:pPr>
      <w:r w:rsidRPr="00C2269B">
        <w:t>Lidhja nr.1</w:t>
      </w:r>
    </w:p>
    <w:p w:rsidR="00AB541D" w:rsidRPr="00C2269B" w:rsidRDefault="00AB541D" w:rsidP="00AB541D">
      <w:pPr>
        <w:pStyle w:val="Akti"/>
        <w:keepNext w:val="0"/>
        <w:rPr>
          <w:sz w:val="21"/>
          <w:szCs w:val="21"/>
        </w:rPr>
      </w:pPr>
    </w:p>
    <w:p w:rsidR="00AB541D" w:rsidRPr="00C2269B" w:rsidRDefault="00AB541D" w:rsidP="00AB541D">
      <w:pPr>
        <w:pStyle w:val="Paragrafi"/>
        <w:rPr>
          <w:sz w:val="21"/>
          <w:szCs w:val="21"/>
        </w:rPr>
      </w:pPr>
    </w:p>
    <w:tbl>
      <w:tblPr>
        <w:tblStyle w:val="TableGrid"/>
        <w:tblW w:w="4673" w:type="pct"/>
        <w:jc w:val="center"/>
        <w:tblLook w:val="01E0" w:firstRow="1" w:lastRow="1" w:firstColumn="1" w:lastColumn="1" w:noHBand="0" w:noVBand="0"/>
      </w:tblPr>
      <w:tblGrid>
        <w:gridCol w:w="2617"/>
        <w:gridCol w:w="1559"/>
        <w:gridCol w:w="1151"/>
        <w:gridCol w:w="842"/>
        <w:gridCol w:w="1092"/>
        <w:gridCol w:w="1418"/>
      </w:tblGrid>
      <w:tr w:rsidR="00AB541D" w:rsidRPr="00C2269B">
        <w:trPr>
          <w:jc w:val="center"/>
        </w:trPr>
        <w:tc>
          <w:tcPr>
            <w:tcW w:w="1508" w:type="pct"/>
          </w:tcPr>
          <w:p w:rsidR="00AB541D" w:rsidRPr="00C2269B" w:rsidRDefault="00AB541D" w:rsidP="00AB541D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898" w:type="pct"/>
          </w:tcPr>
          <w:p w:rsidR="00AB541D" w:rsidRPr="00C2269B" w:rsidRDefault="00AB541D" w:rsidP="00AB541D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2594" w:type="pct"/>
            <w:gridSpan w:val="4"/>
          </w:tcPr>
          <w:p w:rsidR="00AB541D" w:rsidRPr="00C2269B" w:rsidRDefault="00AB541D" w:rsidP="00AB541D">
            <w:pPr>
              <w:pStyle w:val="Tabele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PAGA MUJORE</w:t>
            </w:r>
          </w:p>
        </w:tc>
      </w:tr>
      <w:tr w:rsidR="00AB541D" w:rsidRPr="00C2269B">
        <w:trPr>
          <w:jc w:val="center"/>
        </w:trPr>
        <w:tc>
          <w:tcPr>
            <w:tcW w:w="1508" w:type="pct"/>
          </w:tcPr>
          <w:p w:rsidR="00AB541D" w:rsidRPr="00C2269B" w:rsidRDefault="00AB541D" w:rsidP="00AB541D">
            <w:pPr>
              <w:pStyle w:val="Tabele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EMËRTIMI</w:t>
            </w:r>
          </w:p>
        </w:tc>
        <w:tc>
          <w:tcPr>
            <w:tcW w:w="898" w:type="pct"/>
          </w:tcPr>
          <w:p w:rsidR="00AB541D" w:rsidRPr="00C2269B" w:rsidRDefault="00AB541D" w:rsidP="00AB541D">
            <w:pPr>
              <w:pStyle w:val="Tabele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KATEGORITË</w:t>
            </w:r>
          </w:p>
        </w:tc>
        <w:tc>
          <w:tcPr>
            <w:tcW w:w="1777" w:type="pct"/>
            <w:gridSpan w:val="3"/>
          </w:tcPr>
          <w:p w:rsidR="00AB541D" w:rsidRPr="00C2269B" w:rsidRDefault="00AB541D" w:rsidP="00AB541D">
            <w:pPr>
              <w:pStyle w:val="Tabele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PAGA INDIVIDUALE</w:t>
            </w:r>
          </w:p>
          <w:p w:rsidR="00AB541D" w:rsidRPr="00C2269B" w:rsidRDefault="00AB541D" w:rsidP="00AB541D">
            <w:pPr>
              <w:pStyle w:val="Tabele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(PAGA BAZË)</w:t>
            </w:r>
          </w:p>
        </w:tc>
        <w:tc>
          <w:tcPr>
            <w:tcW w:w="817" w:type="pct"/>
          </w:tcPr>
          <w:p w:rsidR="00AB541D" w:rsidRPr="00C2269B" w:rsidRDefault="00AB541D" w:rsidP="00AB541D">
            <w:pPr>
              <w:pStyle w:val="Tabele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SHTESA E</w:t>
            </w:r>
          </w:p>
          <w:p w:rsidR="00AB541D" w:rsidRPr="00C2269B" w:rsidRDefault="00AB541D" w:rsidP="00AB541D">
            <w:pPr>
              <w:pStyle w:val="Tabele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POZICIONIT</w:t>
            </w:r>
          </w:p>
        </w:tc>
      </w:tr>
      <w:tr w:rsidR="00AB541D" w:rsidRPr="00C2269B">
        <w:trPr>
          <w:jc w:val="center"/>
        </w:trPr>
        <w:tc>
          <w:tcPr>
            <w:tcW w:w="1508" w:type="pct"/>
          </w:tcPr>
          <w:p w:rsidR="00AB541D" w:rsidRPr="00C2269B" w:rsidRDefault="00AB541D" w:rsidP="00AB541D">
            <w:pPr>
              <w:pStyle w:val="Tabele"/>
              <w:jc w:val="center"/>
              <w:rPr>
                <w:sz w:val="21"/>
                <w:szCs w:val="21"/>
              </w:rPr>
            </w:pPr>
          </w:p>
        </w:tc>
        <w:tc>
          <w:tcPr>
            <w:tcW w:w="898" w:type="pct"/>
          </w:tcPr>
          <w:p w:rsidR="00AB541D" w:rsidRPr="00C2269B" w:rsidRDefault="00AB541D" w:rsidP="00AB541D">
            <w:pPr>
              <w:pStyle w:val="Tabel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663" w:type="pct"/>
          </w:tcPr>
          <w:p w:rsidR="00AB541D" w:rsidRPr="00C2269B" w:rsidRDefault="00AB541D" w:rsidP="00AB541D">
            <w:pPr>
              <w:pStyle w:val="Tabel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485" w:type="pct"/>
          </w:tcPr>
          <w:p w:rsidR="00AB541D" w:rsidRPr="00C2269B" w:rsidRDefault="00AB541D" w:rsidP="00AB541D">
            <w:pPr>
              <w:pStyle w:val="Tabel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629" w:type="pct"/>
          </w:tcPr>
          <w:p w:rsidR="00AB541D" w:rsidRPr="00C2269B" w:rsidRDefault="00AB541D" w:rsidP="00AB541D">
            <w:pPr>
              <w:pStyle w:val="Tabel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817" w:type="pct"/>
          </w:tcPr>
          <w:p w:rsidR="00AB541D" w:rsidRPr="00C2269B" w:rsidRDefault="00AB541D" w:rsidP="00AB541D">
            <w:pPr>
              <w:pStyle w:val="Tabel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</w:tr>
      <w:tr w:rsidR="00AB541D" w:rsidRPr="00C2269B">
        <w:trPr>
          <w:jc w:val="center"/>
        </w:trPr>
        <w:tc>
          <w:tcPr>
            <w:tcW w:w="1508" w:type="pct"/>
          </w:tcPr>
          <w:p w:rsidR="00AB541D" w:rsidRPr="00C2269B" w:rsidRDefault="00AB541D" w:rsidP="00AB541D">
            <w:pPr>
              <w:pStyle w:val="Tabele"/>
              <w:jc w:val="center"/>
              <w:rPr>
                <w:sz w:val="21"/>
                <w:szCs w:val="21"/>
              </w:rPr>
            </w:pPr>
          </w:p>
        </w:tc>
        <w:tc>
          <w:tcPr>
            <w:tcW w:w="898" w:type="pct"/>
          </w:tcPr>
          <w:p w:rsidR="00AB541D" w:rsidRPr="00C2269B" w:rsidRDefault="00AB541D" w:rsidP="00AB541D">
            <w:pPr>
              <w:pStyle w:val="Tabele"/>
              <w:jc w:val="center"/>
              <w:rPr>
                <w:sz w:val="21"/>
                <w:szCs w:val="21"/>
              </w:rPr>
            </w:pPr>
          </w:p>
        </w:tc>
        <w:tc>
          <w:tcPr>
            <w:tcW w:w="663" w:type="pct"/>
          </w:tcPr>
          <w:p w:rsidR="00AB541D" w:rsidRPr="00C2269B" w:rsidRDefault="00AB541D" w:rsidP="00AB541D">
            <w:pPr>
              <w:pStyle w:val="Tabele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Paga e grupit (PG)</w:t>
            </w:r>
          </w:p>
        </w:tc>
        <w:tc>
          <w:tcPr>
            <w:tcW w:w="485" w:type="pct"/>
          </w:tcPr>
          <w:p w:rsidR="00AB541D" w:rsidRPr="00C2269B" w:rsidRDefault="00AB541D" w:rsidP="00AB541D">
            <w:pPr>
              <w:pStyle w:val="Tabele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Shtesa për vjetërsi (SHK)</w:t>
            </w:r>
          </w:p>
        </w:tc>
        <w:tc>
          <w:tcPr>
            <w:tcW w:w="629" w:type="pct"/>
          </w:tcPr>
          <w:p w:rsidR="00AB541D" w:rsidRPr="00C2269B" w:rsidRDefault="00AB541D" w:rsidP="00AB541D">
            <w:pPr>
              <w:pStyle w:val="Tabele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Shtesa për kualifikim (SHP)</w:t>
            </w:r>
          </w:p>
        </w:tc>
        <w:tc>
          <w:tcPr>
            <w:tcW w:w="817" w:type="pct"/>
          </w:tcPr>
          <w:p w:rsidR="00AB541D" w:rsidRPr="00C2269B" w:rsidRDefault="00AB541D" w:rsidP="00AB541D">
            <w:pPr>
              <w:pStyle w:val="Tabele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Shtesa për pozicion (SHP) lekë</w:t>
            </w:r>
          </w:p>
        </w:tc>
      </w:tr>
      <w:tr w:rsidR="00AB541D" w:rsidRPr="00C2269B">
        <w:trPr>
          <w:jc w:val="center"/>
        </w:trPr>
        <w:tc>
          <w:tcPr>
            <w:tcW w:w="1508" w:type="pct"/>
          </w:tcPr>
          <w:p w:rsidR="00AB541D" w:rsidRPr="00C2269B" w:rsidRDefault="00AB541D" w:rsidP="00AB541D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Drejtor i Përgjithshëm</w:t>
            </w:r>
          </w:p>
        </w:tc>
        <w:tc>
          <w:tcPr>
            <w:tcW w:w="898" w:type="pct"/>
          </w:tcPr>
          <w:p w:rsidR="00AB541D" w:rsidRPr="00C2269B" w:rsidRDefault="00AB541D" w:rsidP="00AB541D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II-a</w:t>
            </w:r>
          </w:p>
        </w:tc>
        <w:tc>
          <w:tcPr>
            <w:tcW w:w="663" w:type="pct"/>
          </w:tcPr>
          <w:p w:rsidR="00AB541D" w:rsidRPr="00C2269B" w:rsidRDefault="00AB541D" w:rsidP="00AB541D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10.050</w:t>
            </w:r>
          </w:p>
        </w:tc>
        <w:tc>
          <w:tcPr>
            <w:tcW w:w="485" w:type="pct"/>
          </w:tcPr>
          <w:p w:rsidR="00AB541D" w:rsidRPr="00C2269B" w:rsidRDefault="00AB541D" w:rsidP="00AB541D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2%</w:t>
            </w:r>
          </w:p>
        </w:tc>
        <w:tc>
          <w:tcPr>
            <w:tcW w:w="629" w:type="pct"/>
          </w:tcPr>
          <w:p w:rsidR="00AB541D" w:rsidRPr="00C2269B" w:rsidRDefault="00AB541D" w:rsidP="00AB541D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0</w:t>
            </w:r>
          </w:p>
        </w:tc>
        <w:tc>
          <w:tcPr>
            <w:tcW w:w="817" w:type="pct"/>
          </w:tcPr>
          <w:p w:rsidR="00AB541D" w:rsidRPr="00C2269B" w:rsidRDefault="00AB541D" w:rsidP="00AB541D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97 713</w:t>
            </w:r>
          </w:p>
        </w:tc>
      </w:tr>
      <w:tr w:rsidR="00AB541D" w:rsidRPr="00C2269B">
        <w:trPr>
          <w:jc w:val="center"/>
        </w:trPr>
        <w:tc>
          <w:tcPr>
            <w:tcW w:w="1508" w:type="pct"/>
          </w:tcPr>
          <w:p w:rsidR="00AB541D" w:rsidRPr="00C2269B" w:rsidRDefault="00AB541D" w:rsidP="00AB541D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Zv/drejtor i Përgjithshëm</w:t>
            </w:r>
          </w:p>
        </w:tc>
        <w:tc>
          <w:tcPr>
            <w:tcW w:w="898" w:type="pct"/>
          </w:tcPr>
          <w:p w:rsidR="00AB541D" w:rsidRPr="00C2269B" w:rsidRDefault="00AB541D" w:rsidP="00AB541D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II-b</w:t>
            </w:r>
          </w:p>
        </w:tc>
        <w:tc>
          <w:tcPr>
            <w:tcW w:w="663" w:type="pct"/>
          </w:tcPr>
          <w:p w:rsidR="00AB541D" w:rsidRPr="00C2269B" w:rsidRDefault="00AB541D" w:rsidP="00AB541D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10.050</w:t>
            </w:r>
          </w:p>
        </w:tc>
        <w:tc>
          <w:tcPr>
            <w:tcW w:w="485" w:type="pct"/>
          </w:tcPr>
          <w:p w:rsidR="00AB541D" w:rsidRPr="00C2269B" w:rsidRDefault="00AB541D" w:rsidP="00AB541D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2%</w:t>
            </w:r>
          </w:p>
        </w:tc>
        <w:tc>
          <w:tcPr>
            <w:tcW w:w="629" w:type="pct"/>
          </w:tcPr>
          <w:p w:rsidR="00AB541D" w:rsidRPr="00C2269B" w:rsidRDefault="00AB541D" w:rsidP="00AB541D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0</w:t>
            </w:r>
          </w:p>
        </w:tc>
        <w:tc>
          <w:tcPr>
            <w:tcW w:w="817" w:type="pct"/>
          </w:tcPr>
          <w:p w:rsidR="00AB541D" w:rsidRPr="00C2269B" w:rsidRDefault="00AB541D" w:rsidP="00AB541D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80 342</w:t>
            </w:r>
          </w:p>
        </w:tc>
      </w:tr>
      <w:tr w:rsidR="00AB541D" w:rsidRPr="00C2269B">
        <w:trPr>
          <w:jc w:val="center"/>
        </w:trPr>
        <w:tc>
          <w:tcPr>
            <w:tcW w:w="1508" w:type="pct"/>
          </w:tcPr>
          <w:p w:rsidR="00AB541D" w:rsidRPr="00C2269B" w:rsidRDefault="00AB541D" w:rsidP="00AB541D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Drejtor</w:t>
            </w:r>
          </w:p>
        </w:tc>
        <w:tc>
          <w:tcPr>
            <w:tcW w:w="898" w:type="pct"/>
          </w:tcPr>
          <w:p w:rsidR="00AB541D" w:rsidRPr="00C2269B" w:rsidRDefault="00AB541D" w:rsidP="00AB541D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III-a/1</w:t>
            </w:r>
          </w:p>
        </w:tc>
        <w:tc>
          <w:tcPr>
            <w:tcW w:w="663" w:type="pct"/>
          </w:tcPr>
          <w:p w:rsidR="00AB541D" w:rsidRPr="00C2269B" w:rsidRDefault="00AB541D" w:rsidP="00AB541D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10.050</w:t>
            </w:r>
          </w:p>
        </w:tc>
        <w:tc>
          <w:tcPr>
            <w:tcW w:w="485" w:type="pct"/>
          </w:tcPr>
          <w:p w:rsidR="00AB541D" w:rsidRPr="00C2269B" w:rsidRDefault="00AB541D" w:rsidP="00AB541D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2%</w:t>
            </w:r>
          </w:p>
        </w:tc>
        <w:tc>
          <w:tcPr>
            <w:tcW w:w="629" w:type="pct"/>
          </w:tcPr>
          <w:p w:rsidR="00AB541D" w:rsidRPr="00C2269B" w:rsidRDefault="00AB541D" w:rsidP="00AB541D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0</w:t>
            </w:r>
          </w:p>
        </w:tc>
        <w:tc>
          <w:tcPr>
            <w:tcW w:w="817" w:type="pct"/>
          </w:tcPr>
          <w:p w:rsidR="00AB541D" w:rsidRPr="00C2269B" w:rsidRDefault="00AB541D" w:rsidP="00AB541D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49 942</w:t>
            </w:r>
          </w:p>
        </w:tc>
      </w:tr>
      <w:tr w:rsidR="00AB541D" w:rsidRPr="00C2269B">
        <w:trPr>
          <w:jc w:val="center"/>
        </w:trPr>
        <w:tc>
          <w:tcPr>
            <w:tcW w:w="1508" w:type="pct"/>
          </w:tcPr>
          <w:p w:rsidR="00AB541D" w:rsidRPr="00C2269B" w:rsidRDefault="00AB541D" w:rsidP="00AB541D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Përgjegjës sektori</w:t>
            </w:r>
          </w:p>
        </w:tc>
        <w:tc>
          <w:tcPr>
            <w:tcW w:w="898" w:type="pct"/>
          </w:tcPr>
          <w:p w:rsidR="00AB541D" w:rsidRPr="00C2269B" w:rsidRDefault="00AB541D" w:rsidP="00AB541D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III-b</w:t>
            </w:r>
          </w:p>
        </w:tc>
        <w:tc>
          <w:tcPr>
            <w:tcW w:w="663" w:type="pct"/>
          </w:tcPr>
          <w:p w:rsidR="00AB541D" w:rsidRPr="00C2269B" w:rsidRDefault="00AB541D" w:rsidP="00AB541D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10.050</w:t>
            </w:r>
          </w:p>
        </w:tc>
        <w:tc>
          <w:tcPr>
            <w:tcW w:w="485" w:type="pct"/>
          </w:tcPr>
          <w:p w:rsidR="00AB541D" w:rsidRPr="00C2269B" w:rsidRDefault="00AB541D" w:rsidP="00AB541D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2%</w:t>
            </w:r>
          </w:p>
        </w:tc>
        <w:tc>
          <w:tcPr>
            <w:tcW w:w="629" w:type="pct"/>
          </w:tcPr>
          <w:p w:rsidR="00AB541D" w:rsidRPr="00C2269B" w:rsidRDefault="00AB541D" w:rsidP="00AB541D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0</w:t>
            </w:r>
          </w:p>
        </w:tc>
        <w:tc>
          <w:tcPr>
            <w:tcW w:w="817" w:type="pct"/>
          </w:tcPr>
          <w:p w:rsidR="00AB541D" w:rsidRPr="00C2269B" w:rsidRDefault="00AB541D" w:rsidP="00AB541D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43 428</w:t>
            </w:r>
          </w:p>
        </w:tc>
      </w:tr>
      <w:tr w:rsidR="00AB541D" w:rsidRPr="00C2269B">
        <w:trPr>
          <w:jc w:val="center"/>
        </w:trPr>
        <w:tc>
          <w:tcPr>
            <w:tcW w:w="1508" w:type="pct"/>
            <w:vMerge w:val="restart"/>
          </w:tcPr>
          <w:p w:rsidR="00AB541D" w:rsidRPr="00C2269B" w:rsidRDefault="00AB541D" w:rsidP="00AB541D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Specialist</w:t>
            </w:r>
          </w:p>
        </w:tc>
        <w:tc>
          <w:tcPr>
            <w:tcW w:w="898" w:type="pct"/>
          </w:tcPr>
          <w:p w:rsidR="00AB541D" w:rsidRPr="00C2269B" w:rsidRDefault="00AB541D" w:rsidP="00AB541D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IV-a</w:t>
            </w:r>
          </w:p>
        </w:tc>
        <w:tc>
          <w:tcPr>
            <w:tcW w:w="663" w:type="pct"/>
          </w:tcPr>
          <w:p w:rsidR="00AB541D" w:rsidRPr="00C2269B" w:rsidRDefault="00AB541D" w:rsidP="00AB541D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10.050</w:t>
            </w:r>
          </w:p>
        </w:tc>
        <w:tc>
          <w:tcPr>
            <w:tcW w:w="485" w:type="pct"/>
          </w:tcPr>
          <w:p w:rsidR="00AB541D" w:rsidRPr="00C2269B" w:rsidRDefault="00AB541D" w:rsidP="00AB541D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2%</w:t>
            </w:r>
          </w:p>
        </w:tc>
        <w:tc>
          <w:tcPr>
            <w:tcW w:w="629" w:type="pct"/>
          </w:tcPr>
          <w:p w:rsidR="00AB541D" w:rsidRPr="00C2269B" w:rsidRDefault="00AB541D" w:rsidP="00AB541D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0</w:t>
            </w:r>
          </w:p>
        </w:tc>
        <w:tc>
          <w:tcPr>
            <w:tcW w:w="817" w:type="pct"/>
          </w:tcPr>
          <w:p w:rsidR="00AB541D" w:rsidRPr="00C2269B" w:rsidRDefault="00AB541D" w:rsidP="00AB541D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32 571</w:t>
            </w:r>
          </w:p>
        </w:tc>
      </w:tr>
      <w:tr w:rsidR="00AB541D" w:rsidRPr="00C2269B">
        <w:trPr>
          <w:jc w:val="center"/>
        </w:trPr>
        <w:tc>
          <w:tcPr>
            <w:tcW w:w="1508" w:type="pct"/>
            <w:vMerge/>
          </w:tcPr>
          <w:p w:rsidR="00AB541D" w:rsidRPr="00C2269B" w:rsidRDefault="00AB541D" w:rsidP="00AB541D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898" w:type="pct"/>
          </w:tcPr>
          <w:p w:rsidR="00AB541D" w:rsidRPr="00C2269B" w:rsidRDefault="00AB541D" w:rsidP="00AB541D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IV-b</w:t>
            </w:r>
          </w:p>
        </w:tc>
        <w:tc>
          <w:tcPr>
            <w:tcW w:w="663" w:type="pct"/>
          </w:tcPr>
          <w:p w:rsidR="00AB541D" w:rsidRPr="00C2269B" w:rsidRDefault="00AB541D" w:rsidP="00AB541D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10.050</w:t>
            </w:r>
          </w:p>
        </w:tc>
        <w:tc>
          <w:tcPr>
            <w:tcW w:w="485" w:type="pct"/>
          </w:tcPr>
          <w:p w:rsidR="00AB541D" w:rsidRPr="00C2269B" w:rsidRDefault="00AB541D" w:rsidP="00AB541D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2%</w:t>
            </w:r>
          </w:p>
        </w:tc>
        <w:tc>
          <w:tcPr>
            <w:tcW w:w="629" w:type="pct"/>
          </w:tcPr>
          <w:p w:rsidR="00AB541D" w:rsidRPr="00C2269B" w:rsidRDefault="00AB541D" w:rsidP="00AB541D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0</w:t>
            </w:r>
          </w:p>
        </w:tc>
        <w:tc>
          <w:tcPr>
            <w:tcW w:w="817" w:type="pct"/>
          </w:tcPr>
          <w:p w:rsidR="00AB541D" w:rsidRPr="00C2269B" w:rsidRDefault="00AB541D" w:rsidP="00AB541D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21 714</w:t>
            </w:r>
          </w:p>
        </w:tc>
      </w:tr>
    </w:tbl>
    <w:p w:rsidR="00AB541D" w:rsidRPr="00C2269B" w:rsidRDefault="00AB541D" w:rsidP="00AB541D">
      <w:pPr>
        <w:pStyle w:val="Paragrafi"/>
        <w:rPr>
          <w:sz w:val="21"/>
          <w:szCs w:val="21"/>
        </w:rPr>
      </w:pPr>
    </w:p>
    <w:p w:rsidR="00AB541D" w:rsidRPr="00C2269B" w:rsidRDefault="00AB541D" w:rsidP="00AB541D">
      <w:pPr>
        <w:pStyle w:val="Paragrafi"/>
        <w:rPr>
          <w:sz w:val="21"/>
          <w:szCs w:val="21"/>
        </w:rPr>
      </w:pPr>
    </w:p>
    <w:sectPr w:rsidR="00AB541D" w:rsidRPr="00C2269B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47D49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B541D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C36AEE2-C755-43A3-BFC0-BD061603C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541D"/>
    <w:rPr>
      <w:rFonts w:eastAsia="SimSun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AB541D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AB541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B541D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AB541D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2019-03-16T13:45:00Z</dcterms:created>
  <dcterms:modified xsi:type="dcterms:W3CDTF">2019-03-16T13:45:00Z</dcterms:modified>
</cp:coreProperties>
</file>