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59A7" w:rsidRDefault="00D959A7" w:rsidP="00D959A7">
      <w:pPr>
        <w:pStyle w:val="Akti"/>
      </w:pPr>
      <w:bookmarkStart w:id="0" w:name="_GoBack"/>
      <w:bookmarkEnd w:id="0"/>
      <w:r>
        <w:t>VENDIM</w:t>
      </w:r>
    </w:p>
    <w:p w:rsidR="00D959A7" w:rsidRDefault="00D959A7" w:rsidP="00D959A7">
      <w:pPr>
        <w:pStyle w:val="NumriData"/>
      </w:pPr>
      <w:r>
        <w:t>Nr.407, datë 21.6.2006</w:t>
      </w:r>
    </w:p>
    <w:p w:rsidR="00D959A7" w:rsidRDefault="00D959A7" w:rsidP="00D959A7">
      <w:pPr>
        <w:pStyle w:val="Paragrafi"/>
      </w:pPr>
    </w:p>
    <w:p w:rsidR="00D959A7" w:rsidRDefault="00D959A7" w:rsidP="00D959A7">
      <w:pPr>
        <w:pStyle w:val="Titulli"/>
      </w:pPr>
      <w:r>
        <w:t>PËR MIRATIMIN E STRUKTURËS DHE TË NIVELEVE TË PAGAVE TË NËPUNËSVE TË DISA INSTITUCIONEVE, NË VARËSI TË MINISTRAVE TË LINJËS</w:t>
      </w:r>
    </w:p>
    <w:p w:rsidR="00D959A7" w:rsidRDefault="00D959A7" w:rsidP="00D959A7">
      <w:pPr>
        <w:pStyle w:val="Paragrafi"/>
      </w:pPr>
    </w:p>
    <w:p w:rsidR="00D959A7" w:rsidRDefault="00D959A7" w:rsidP="00D959A7">
      <w:pPr>
        <w:pStyle w:val="BazLigjPropozues"/>
      </w:pPr>
      <w:r>
        <w:t>Në mbështetje të nenit 100 të Kushtetutës, të nenit 5/1 të ligjit nr.8487, datë 13.5.1999 “Për kompetencat për caktimin e pagave të punës”, të ndryshuar, dhe të ligjit nr.9464, datë 28.12.2005 “Për Buxhetin e Shtetit të vitit 2006”, me propozimin e Ministrit të Brendshëm dhe të Ministrit të Financave, Këshilli i Ministrave</w:t>
      </w:r>
    </w:p>
    <w:p w:rsidR="00D959A7" w:rsidRDefault="00D959A7" w:rsidP="00D959A7">
      <w:pPr>
        <w:pStyle w:val="Paragrafi"/>
      </w:pPr>
    </w:p>
    <w:p w:rsidR="00D959A7" w:rsidRDefault="00D959A7" w:rsidP="00D959A7">
      <w:pPr>
        <w:pStyle w:val="VENDOSI"/>
      </w:pPr>
      <w:r>
        <w:t>VENDOSI:</w:t>
      </w:r>
    </w:p>
    <w:p w:rsidR="00D959A7" w:rsidRDefault="00D959A7" w:rsidP="00D959A7">
      <w:pPr>
        <w:pStyle w:val="Paragrafi"/>
      </w:pPr>
    </w:p>
    <w:p w:rsidR="00D959A7" w:rsidRDefault="00D959A7" w:rsidP="00D959A7">
      <w:pPr>
        <w:pStyle w:val="Paragrafi"/>
      </w:pPr>
      <w:r>
        <w:t>1. Në fushën e veprimit të këtij vendimi përfshihen institucionet qendrore dhe ato rajonale/vendore, në varësi të ministrave të linjës, të cilat kategorizohen si më poshtë vijon:</w:t>
      </w:r>
    </w:p>
    <w:p w:rsidR="00D959A7" w:rsidRDefault="00D959A7" w:rsidP="00D959A7">
      <w:pPr>
        <w:pStyle w:val="Paragrafi"/>
      </w:pPr>
      <w:r>
        <w:t>a) Institucionet qendrore të grupit të parë, ku bëjnë pjesë Drejtoria e Përgjithshme e Aviacionit Civil, Agjencia e Legalizimit, Urbanizimit dhe Integrimit të Zonave Informale, Drejtoria e Përgjithshme e Rrugëve, Drejtoria e Përgjithshme e Ujësjellës-Kanalizimeve, Drejtoria e Përgjithshme e Inspektoratit Shtetëror të Punës, Drejtoria e Përgjithshme e Shërbimit Kombëtar të Punësimit, Drejtoria e Përgjithshme e Shërbimit Social Shtetëror, Drejtoria e Përgjithshme e Burgjeve, Zyra Qendrore e Regjistrimit të Pasurive të Paluajtshme, Drejtoria e Përgjithshme e Standardizimit, Drejtoria e Patentave dhe Markave, Agjencia Kombëtare e Energjisë, Enti i Turizmit, Komiteti Shtetëror i Kulteve, Inspektorati i Instituteve Private të Pensioneve Suplementare dhe Instituti i Trajnimit të Administratës Publike.</w:t>
      </w:r>
    </w:p>
    <w:p w:rsidR="00D959A7" w:rsidRDefault="00D959A7" w:rsidP="00D959A7">
      <w:pPr>
        <w:pStyle w:val="Paragrafi"/>
      </w:pPr>
      <w:r>
        <w:t>b) Institucionet qendrore të grupit të dytë, ku bëjnë pjesë Instituti i Studimeve të Transportit, Instituti i Studimeve të Urbanistikës, Arkivi Qendror Teknik i Ndërtimit, Instituti i Kurrikulave dhe Standardeve, Qendra e Trajnimit dhe Kualifikimit për Arsimin, Agjencia e Akreditimit për Arsimin e Lartë, Qendra Kombëtare Arsimore e Vlerësimit dhe Provimeve, Agjencia Kombëtare e Arsimit dhe Formimit Profesional, Zyra Shqiptare për të Drejtat e Autorit, Drejtoria e Përgjithshme e Përmbarimit Gjyqësor, Qendra e Publikimeve Zyrtare, Instituti i Mjekësisë Ligjore, Reparti i Inspektim-Shpëtim Minierave, Drejtoria e Akreditimit, Agjencia Shqiptare e Biznesit dhe Investimeve, Policia Elektrike, Drejtoria e Përgjithshme e Rezervave të Shtetit, Agjencia e Inventarizimit dhe Transferimit të Pronave Publike, Instituti i Monumenteve të Kulturës, Arkivi Qendror Shtetëror i Filmit, Qendra Kombëtare e Kinematografisë, Kompania Shtetërore e Ansamblit të Këngëve dhe Valleve Popullore, Komiteti Olimpik Shqiptar, Galeria Kombëtare e Arteve, Muzeu Historik Kombëtar, Kompania Teatrore, Shtetërore, Qendrore e Teatrit Kombëtar për Fëmijë, Biblioteka Kombëtare, Teatri Kombëtar dhe Teatri Kombëtar i Operas dhe Baletit.</w:t>
      </w:r>
    </w:p>
    <w:p w:rsidR="00D959A7" w:rsidRDefault="00D959A7" w:rsidP="00D959A7">
      <w:pPr>
        <w:pStyle w:val="Paragrafi"/>
      </w:pPr>
      <w:r>
        <w:t>c) Institucionet qendrore të grupit të tretë, ku bëjnë pjesë Kapiteneria e Përgjithshme e Porteve, Durrës, Inspektorati Hekurudhor, Durrës, Qendra Pritëse e Viktimave të Trafikut, Komiteti Shqiptar i Birësimeve, Inspektorati i Pajisjeve dhe Instalimeve Elektrike, Inspektorati i Pajisjeve nën Presion, Enti Shtetëror i Farërave dhe Fidanëve, Agjencia Kombëtare e Duhan-Cigareve, Drejtoria e Informacionit Agroushqimor, Qendra Kombëtare e Veprimtarive Folklorike, Qendra Kombëtare e Inventarizimit të Pasurive Kulturore, Qendra e Realizimit të Veprave të Artit, Zyra e Administrimit dhe Koordinimit të Butrintit, Sarandë, zyrat e administrimit dhe koordinimit të parqeve arkeologjike, Agjencia e Shërbimeve të Sportit, Tiranë, Fototeka Kombëtare “Marubi”, Shkodër, Muzeu Kombëtar “Gjergj Kastrioti”, Krujë, Qendra Kombëtare e Muzeumeve, Berat, Muzeu Kombëtar i Pavarësisë, Vlorë dhe Muzeu Kombëtar i Artit Mesjetar, Korçë.</w:t>
      </w:r>
    </w:p>
    <w:p w:rsidR="00D959A7" w:rsidRDefault="00D959A7" w:rsidP="00D959A7">
      <w:pPr>
        <w:pStyle w:val="Paragrafi"/>
      </w:pPr>
      <w:r>
        <w:t xml:space="preserve">2. Struktura dhe nivelet e pagave të nëpunësve, në pozicionet “Specialist” deri në “Titullar i institucionit”, të institucioneve qendrore të grupit të parë, të përcaktuara në shkronjën </w:t>
      </w:r>
      <w:r>
        <w:lastRenderedPageBreak/>
        <w:t>“a” të pikës 1, të jenë sipas lidhjes nr.1, që i bashkëlidhet këtij vendimi dhe është pjesë përbërëse e tij.</w:t>
      </w:r>
    </w:p>
    <w:p w:rsidR="00D959A7" w:rsidRDefault="00D959A7" w:rsidP="00D959A7">
      <w:pPr>
        <w:pStyle w:val="Paragrafi"/>
      </w:pPr>
      <w:r>
        <w:t>2/1 Struktura dhe nivelet e pagave të nëpunësve në pozicionet “Specialist” deri në “Titullar i institucionit”, ñë Zyren Qendrore të Regjistrimit të Pasurive të Paluajtshme, të jenë sipas lidhjes nr.1/1, që i bashkëlidhet këtij vendimi dhe është pjesë përbërëse e tij.</w:t>
      </w:r>
    </w:p>
    <w:p w:rsidR="00D959A7" w:rsidRDefault="00D959A7" w:rsidP="00D959A7">
      <w:pPr>
        <w:pStyle w:val="Paragrafi"/>
      </w:pPr>
      <w:r>
        <w:t>2/2 Struktura dhe nivelet e pagave të nëpunësve në pozicionet “Specialist” deri në “Titullar i institucionit”, në Drejtorinë e Përgjithshme të Burgjeve, të jenë sipas lidhjes nr.1/2, që i bashkëlidhet këtij vendimi dhe është pjesë përbërëse e tij.</w:t>
      </w:r>
    </w:p>
    <w:p w:rsidR="00D959A7" w:rsidRDefault="00D959A7" w:rsidP="00D959A7">
      <w:pPr>
        <w:pStyle w:val="Paragrafi"/>
      </w:pPr>
      <w:r>
        <w:t>3. Struktura dhe nivelet e pagave të nëpunësve në pozicionet “Specialist” deri në “Titullar i institucionit”, të institucioneve qendrore të grupit të dytë, të përcaktuara në shkronjën “b”, të pikës 1, të jenë sipas lidhjes nr.2, që i bashkëlidhet këtij vendimi dhe është pjesë përbërëse e tij.</w:t>
      </w:r>
    </w:p>
    <w:p w:rsidR="00D959A7" w:rsidRDefault="00D959A7" w:rsidP="00D959A7">
      <w:pPr>
        <w:pStyle w:val="Paragrafi"/>
      </w:pPr>
      <w:r>
        <w:t>3/1 Struktura dhe nivelet e pagave të nëpunësve të Teatrit Kombëtar dhe Teatrit Kombëtar të Operas dhe Baletit, të jenë sipas lidhjes nr.2/1, që i bashkëlidhet këtij vendimi dhe është pjesë përbërëse e tij.</w:t>
      </w:r>
    </w:p>
    <w:p w:rsidR="00D959A7" w:rsidRDefault="00D959A7" w:rsidP="00D959A7">
      <w:pPr>
        <w:pStyle w:val="Paragrafi"/>
      </w:pPr>
      <w:r>
        <w:t>Punonjësit e trupës artistike të këtyre institucioneve përfitojnë shtesë për kushte pune, në masën 6 000 (gjashtë mijë) lekë në muaj.</w:t>
      </w:r>
    </w:p>
    <w:p w:rsidR="00D959A7" w:rsidRDefault="00D959A7" w:rsidP="00D959A7">
      <w:pPr>
        <w:pStyle w:val="Paragrafi"/>
      </w:pPr>
      <w:r>
        <w:t>4. Struktura dhe nivelet e pagave të nëpunësve në pozicionet “Specialist” deri në “Titullar i institucionit”, të institucioneve qendrore të grupit të tretë, të përcaktuara në shkronjës “c”, të pikës 1, të jenë sipas lidhjes nr.3, që i bashkëlidhet këtij vendimi dhe është pjesë përbërëse e tij.</w:t>
      </w:r>
    </w:p>
    <w:p w:rsidR="00D959A7" w:rsidRDefault="00D959A7" w:rsidP="00D959A7">
      <w:pPr>
        <w:pStyle w:val="Paragrafi"/>
      </w:pPr>
      <w:r>
        <w:t>5. Struktura dhe nivelet e pagave të nëpunësve në pozicionet “Specialist” deri në “Titullar i institucionit”, të institucioneve rajonale/vendore, në varësi të ministrave të linjës, si dhe në varësi të institucioneve, të përcaktuara në pikën 1, të jenë sipas lidhjes nr.4, që i bashkëlidhet këtij vendimi dhe është pjesë përbërëse e tij.</w:t>
      </w:r>
    </w:p>
    <w:p w:rsidR="00D959A7" w:rsidRDefault="00D959A7" w:rsidP="00D959A7">
      <w:pPr>
        <w:pStyle w:val="Paragrafi"/>
      </w:pPr>
      <w:r>
        <w:t>5/1 Struktura dhe nivelet e pagave të nëpunësve në pozicionet “Specialist” deri në “Titullar i institucionit”, të zyrave të regjistrimit të pasurive të paluajtshme në rrethe, të jenë sipas lidhjes nr.4/1, që i bashkëlidhet këtij vendimi dhe është pjesë përbërëse e tij.</w:t>
      </w:r>
    </w:p>
    <w:p w:rsidR="00D959A7" w:rsidRDefault="00D959A7" w:rsidP="00D959A7">
      <w:pPr>
        <w:pStyle w:val="Paragrafi"/>
      </w:pPr>
      <w:r>
        <w:t>5/2 Struktura dhe nivelet e pagave të nëpunësve në pozicionet “Specialist” deri në “Titullar i institucionit”, të drejtorive arsimore rajonale dhe zyrave arsimore, të jenë sipas lidhjes nr.4/2, që i bashkëlidhet këtij vendimi dhe është pjesë përbërëse e tij.</w:t>
      </w:r>
    </w:p>
    <w:p w:rsidR="00D959A7" w:rsidRDefault="00D959A7" w:rsidP="00D959A7">
      <w:pPr>
        <w:pStyle w:val="Paragrafi"/>
      </w:pPr>
      <w:r>
        <w:t>5/3 Struktura dhe nivelet e pagave të nëpunësve në pozicionet “Specialist” deri në “Titullar i institucionit”, të drejtorive të burgjeve dhe të institucioneve të riedukimit në rrethe, të jenë sipas lidhjes nr.4/3, që i bashkëlidhet këtij vendimi dhe është pjesë përbërëse e tij.</w:t>
      </w:r>
    </w:p>
    <w:p w:rsidR="00D959A7" w:rsidRDefault="00D959A7" w:rsidP="00D959A7">
      <w:pPr>
        <w:pStyle w:val="Paragrafi"/>
      </w:pPr>
      <w:r>
        <w:t>6. Paga e grupit (kolona 1) e lidhjeve nr.1, nr.1/1, nr.1/2, nr. 2, nr.2/1, nr.3 e nr.4, nr.4/1, nr.4/2, e nr.4/3 — diplomë e shkollës së lartë të jetë 10 050 (dhjetë mijë e pesëdhjetë) lekë.</w:t>
      </w:r>
    </w:p>
    <w:p w:rsidR="00D959A7" w:rsidRDefault="00D959A7" w:rsidP="00D959A7">
      <w:pPr>
        <w:pStyle w:val="Paragrafi"/>
      </w:pPr>
      <w:r>
        <w:t>7. Shtesa për vjetërsi në punë (kolona 2) e lidhjeve nr.1, nr.1/1, nr.l/2, nr. 2, nr.2/1, nr.3 e nr.4, nr.4/1, nr.4/2, e nr.4/3 jepet në masën 2 për qind, pas çdo viti pune, deri në 25 vjet, dhe llogaritet mbi pagën e grupit.</w:t>
      </w:r>
    </w:p>
    <w:p w:rsidR="00D959A7" w:rsidRDefault="00D959A7" w:rsidP="00D959A7">
      <w:pPr>
        <w:pStyle w:val="Paragrafi"/>
      </w:pPr>
      <w:r>
        <w:t>8. Shtesa për kualifikim është sipas kolonës 3, të lidhjeve nr.l, nr.1/1, nr.1/2, nr. 2, nr.2/1, nr.3 e nr.4, nr.4/l, nr.4/2, e nr.4/3.</w:t>
      </w:r>
    </w:p>
    <w:p w:rsidR="00D959A7" w:rsidRDefault="00D959A7" w:rsidP="00D959A7">
      <w:pPr>
        <w:pStyle w:val="Paragrafi"/>
      </w:pPr>
      <w:r>
        <w:t>9. Shtesa për pozicion është sipas kolonës 4, të lidhjeve nr.1, nr.1/l, nr.1/2, nr. 2, nr.2/1, nr.3 e nr.4, nr.4/1, nr.4/2, e nr.4/3.</w:t>
      </w:r>
    </w:p>
    <w:p w:rsidR="00D959A7" w:rsidRDefault="00D959A7" w:rsidP="00D959A7">
      <w:pPr>
        <w:pStyle w:val="Paragrafi"/>
      </w:pPr>
      <w:r>
        <w:t>10. Kategorizimi për secilin institucion për pozicionet “Përgjegjës sektori” dhe “Specialist” përcaktohet në urdhrin e miratimit të strukturës dhe të organikës së institucionit.</w:t>
      </w:r>
    </w:p>
    <w:p w:rsidR="00D959A7" w:rsidRDefault="00D959A7" w:rsidP="00D959A7">
      <w:pPr>
        <w:pStyle w:val="Paragrafi"/>
      </w:pPr>
      <w:r>
        <w:t>11. Nëpunësit në pozicionet “Specialist” deri “Titullar i institucionit”, të institucioneve rajonale/vendore, që nuk përmbushin kriterin e arsimit të lartë, të trajtohen me pagë sipas strukturës së përcaktuar në lidhjet nr.4, nr.4/1, nr.4/2 e nr.4/3 që i bashkëlidhen këtij vendimi, por paga e grupit të llogaritet me 50 për qind të pagës së grupit për diplomën e shkollës se lartë, sipas përcaktimit të bërë në pikën 6 të këtij vendimi. Shtesa për vjetërsi për këta nëpunës të llogaritet mbi këtë pagë të reduktuar.</w:t>
      </w:r>
    </w:p>
    <w:p w:rsidR="00D959A7" w:rsidRDefault="00D959A7" w:rsidP="00D959A7">
      <w:pPr>
        <w:pStyle w:val="Paragrafi"/>
      </w:pPr>
      <w:r>
        <w:t xml:space="preserve">12. Nëpunësit me tituj e grada shkencore (specialist deri në titullar), të cilët punojnë në pozicione që kërkojnë detyrimisht titullin apo gradën shkencore përkatëse, në Qendrën e </w:t>
      </w:r>
      <w:r>
        <w:lastRenderedPageBreak/>
        <w:t>Trajnimit dhe Kualifikimit për Arsimin, Institutin e Kurrikulave dhe Standardeve, Agjencinë e Akreditimit për Arsimin e Lartë, Qendrën Kombëtare Arsimore të Vlerësimit dhe Provimeve, Institutin e Mjekësisë Ligjore, Institutin e Monumenteve të Kulturës, Ansamblin Shtetëror të Këngëve dhe Valleve Popullore, Komitetin Olimpik Shqiptar, Galerinë Kombëtare të Arteve, Teatrin Kombëtar, Teatrin Kombëtar të Operas dhe Baletit, Bibliotekën Kombëtare, Muzeun Historik Kombëtar, përveç pagës mujore, të përcaktuar sipas lidhjeve nr.1, nr. 2 e nr.3, dhe pikës 11, të këtij vendimi, përfitojnë një shpërblim mujor si më poshtë vijon:</w:t>
      </w:r>
    </w:p>
    <w:p w:rsidR="00D959A7" w:rsidRDefault="00D959A7" w:rsidP="00D959A7">
      <w:pPr>
        <w:pStyle w:val="Paragrafi"/>
      </w:pPr>
      <w:r>
        <w:t>- Profesor</w:t>
      </w:r>
      <w:r>
        <w:tab/>
      </w:r>
      <w:r>
        <w:tab/>
        <w:t>5 600 lekë;</w:t>
      </w:r>
    </w:p>
    <w:p w:rsidR="00D959A7" w:rsidRDefault="00D959A7" w:rsidP="00D959A7">
      <w:pPr>
        <w:pStyle w:val="Paragrafi"/>
      </w:pPr>
      <w:r>
        <w:t>- Profesor i asociuar</w:t>
      </w:r>
      <w:r>
        <w:tab/>
        <w:t>4 900 leke;</w:t>
      </w:r>
    </w:p>
    <w:p w:rsidR="00D959A7" w:rsidRDefault="00D959A7" w:rsidP="00D959A7">
      <w:pPr>
        <w:pStyle w:val="Paragrafi"/>
      </w:pPr>
      <w:r>
        <w:t>- Doktor i shkencave</w:t>
      </w:r>
      <w:r>
        <w:tab/>
        <w:t>4 200 lekë.</w:t>
      </w:r>
    </w:p>
    <w:p w:rsidR="00D959A7" w:rsidRDefault="00D959A7" w:rsidP="00D959A7">
      <w:pPr>
        <w:pStyle w:val="Paragrafi"/>
      </w:pPr>
      <w:r>
        <w:t>12/1 Numri maksimal i pozicioneve të punës, që kërkojnë detyrimisht punonjës me titull ose gradë shkencore të jetë, si me poshtë vijon:</w:t>
      </w:r>
    </w:p>
    <w:p w:rsidR="00D959A7" w:rsidRDefault="00D959A7" w:rsidP="00D959A7">
      <w:pPr>
        <w:pStyle w:val="Paragrafi"/>
      </w:pPr>
      <w:r>
        <w:t>- Qendra e Trajnimit dhe Kualifikimit per Arsimin</w:t>
      </w:r>
      <w:r>
        <w:tab/>
      </w:r>
      <w:r>
        <w:tab/>
        <w:t>4 (katër);</w:t>
      </w:r>
    </w:p>
    <w:p w:rsidR="00D959A7" w:rsidRDefault="00D959A7" w:rsidP="00D959A7">
      <w:pPr>
        <w:pStyle w:val="Paragrafi"/>
      </w:pPr>
      <w:r>
        <w:t>- Instituti i Kurrikulave dhe Standardeve</w:t>
      </w:r>
      <w:r>
        <w:tab/>
      </w:r>
      <w:r>
        <w:tab/>
      </w:r>
      <w:r>
        <w:tab/>
        <w:t>8 (tetë);</w:t>
      </w:r>
    </w:p>
    <w:p w:rsidR="00D959A7" w:rsidRDefault="00D959A7" w:rsidP="00D959A7">
      <w:pPr>
        <w:pStyle w:val="Paragrafi"/>
      </w:pPr>
      <w:r>
        <w:t>- Agjencia e Akreditimit për Arsimin e Lartë</w:t>
      </w:r>
      <w:r>
        <w:tab/>
      </w:r>
      <w:r>
        <w:tab/>
      </w:r>
      <w:r>
        <w:tab/>
        <w:t>1 (një);</w:t>
      </w:r>
    </w:p>
    <w:p w:rsidR="00D959A7" w:rsidRDefault="00D959A7" w:rsidP="00D959A7">
      <w:pPr>
        <w:pStyle w:val="Paragrafi"/>
      </w:pPr>
      <w:r>
        <w:t>- Qendra Kombëtare Arsimore e Vlerësimit dhe Provimeve</w:t>
      </w:r>
      <w:r>
        <w:tab/>
        <w:t>4 (katër).</w:t>
      </w:r>
    </w:p>
    <w:p w:rsidR="00D959A7" w:rsidRDefault="00D959A7" w:rsidP="00D959A7">
      <w:pPr>
        <w:pStyle w:val="Paragrafi"/>
      </w:pPr>
      <w:r>
        <w:t>13. Nëpunësit, që paguhen sipas lidhjeve nr.1, nr.1/1, nr.1/2, nr. 2, nr.2/1, nr.3 e nr.4, nr.4/1, nr.4/2, e nr.4/3, që i bashkëlidhen këtij vendimi, dhe pikave 11, 12 dhe 12/1 të këtij vendimi, nuk përfitojnë shtesa të tjera, të përcaktuara me vendime të Këshillit të Ministrave.</w:t>
      </w:r>
    </w:p>
    <w:p w:rsidR="00D959A7" w:rsidRDefault="00D959A7" w:rsidP="00D959A7">
      <w:pPr>
        <w:pStyle w:val="Paragrafi"/>
      </w:pPr>
      <w:r>
        <w:t>14. Procesi i ristrukturimit të institucioneve, që përfshihen në fushën e veprimit të këtij vendimi, të ketë përfunduar deri më datë 15.7.2006. Zbatimi i niveleve të pagave, të përcaktuara sipas këtij vendimi, të fillojë pas përfundimit të këtij procesi dhe miratimit me urdhër të Kryeministrit të strukturave dhe të organikave të institucioneve të sipërpërmendura.</w:t>
      </w:r>
    </w:p>
    <w:p w:rsidR="00D959A7" w:rsidRDefault="00D959A7" w:rsidP="00D959A7">
      <w:pPr>
        <w:pStyle w:val="Paragrafi"/>
      </w:pPr>
      <w:r>
        <w:t>15. Të gjitha dispozitat, që bien në kundërshtim me këtë vendim, shfuqizohen.</w:t>
      </w:r>
    </w:p>
    <w:p w:rsidR="00D959A7" w:rsidRDefault="00D959A7" w:rsidP="00D959A7">
      <w:pPr>
        <w:pStyle w:val="Paragrafi"/>
      </w:pPr>
      <w:r>
        <w:t>16. Efektet financiare, që rrjedhin nga zbatimi i këtij vendimi, për vitin 2006, të përballohen nga fondet e parashikuara për rritjen e pagave.</w:t>
      </w:r>
    </w:p>
    <w:p w:rsidR="00D959A7" w:rsidRDefault="00D959A7" w:rsidP="00D959A7">
      <w:pPr>
        <w:pStyle w:val="Paragrafi"/>
      </w:pPr>
      <w:r>
        <w:t>Ky vendim hyn në fuqi pas botimit në Fletoren Zyrtare dhe i shtrin efektet financiare nga data 1 korrik 2006.</w:t>
      </w:r>
    </w:p>
    <w:p w:rsidR="00D959A7" w:rsidRDefault="00D959A7" w:rsidP="00D959A7">
      <w:pPr>
        <w:pStyle w:val="Paragrafi"/>
      </w:pPr>
    </w:p>
    <w:p w:rsidR="00D959A7" w:rsidRDefault="00D959A7" w:rsidP="00D959A7">
      <w:pPr>
        <w:pStyle w:val="Autoriteti"/>
      </w:pPr>
      <w:r>
        <w:t>Kryeministri</w:t>
      </w:r>
    </w:p>
    <w:p w:rsidR="00D959A7" w:rsidRDefault="00D959A7" w:rsidP="00D959A7">
      <w:pPr>
        <w:pStyle w:val="AutoritetiEmer"/>
      </w:pPr>
      <w:r>
        <w:t>Sali Berisha</w:t>
      </w:r>
    </w:p>
    <w:p w:rsidR="00D959A7" w:rsidRDefault="00D959A7" w:rsidP="00D959A7">
      <w:pPr>
        <w:pStyle w:val="Paragrafi"/>
      </w:pPr>
    </w:p>
    <w:p w:rsidR="00D959A7" w:rsidRDefault="00434889" w:rsidP="00D959A7">
      <w:pPr>
        <w:pStyle w:val="Figure"/>
      </w:pPr>
      <w:r w:rsidRPr="00F56E8C">
        <w:rPr>
          <w:noProof/>
          <w:lang w:val="en-GB" w:eastAsia="en-GB"/>
        </w:rPr>
        <w:lastRenderedPageBreak/>
        <w:drawing>
          <wp:inline distT="0" distB="0" distL="0" distR="0">
            <wp:extent cx="5753100" cy="5610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3100" cy="5610225"/>
                    </a:xfrm>
                    <a:prstGeom prst="rect">
                      <a:avLst/>
                    </a:prstGeom>
                    <a:noFill/>
                    <a:ln>
                      <a:noFill/>
                    </a:ln>
                  </pic:spPr>
                </pic:pic>
              </a:graphicData>
            </a:graphic>
          </wp:inline>
        </w:drawing>
      </w: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434889" w:rsidP="00D959A7">
      <w:pPr>
        <w:pStyle w:val="Paragrafi"/>
      </w:pPr>
      <w:r>
        <w:rPr>
          <w:noProof/>
          <w:lang w:val="en-GB" w:eastAsia="en-GB"/>
        </w:rPr>
        <w:lastRenderedPageBreak/>
        <w:drawing>
          <wp:inline distT="0" distB="0" distL="0" distR="0">
            <wp:extent cx="5762625" cy="48577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t="4416"/>
                    <a:stretch>
                      <a:fillRect/>
                    </a:stretch>
                  </pic:blipFill>
                  <pic:spPr bwMode="auto">
                    <a:xfrm>
                      <a:off x="0" y="0"/>
                      <a:ext cx="5762625" cy="4857750"/>
                    </a:xfrm>
                    <a:prstGeom prst="rect">
                      <a:avLst/>
                    </a:prstGeom>
                    <a:noFill/>
                    <a:ln>
                      <a:noFill/>
                    </a:ln>
                  </pic:spPr>
                </pic:pic>
              </a:graphicData>
            </a:graphic>
          </wp:inline>
        </w:drawing>
      </w: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434889" w:rsidP="00D959A7">
      <w:pPr>
        <w:pStyle w:val="Paragrafi"/>
      </w:pPr>
      <w:r>
        <w:rPr>
          <w:noProof/>
          <w:lang w:val="en-GB" w:eastAsia="en-GB"/>
        </w:rPr>
        <w:lastRenderedPageBreak/>
        <w:drawing>
          <wp:inline distT="0" distB="0" distL="0" distR="0">
            <wp:extent cx="5753100" cy="4962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t="4318"/>
                    <a:stretch>
                      <a:fillRect/>
                    </a:stretch>
                  </pic:blipFill>
                  <pic:spPr bwMode="auto">
                    <a:xfrm>
                      <a:off x="0" y="0"/>
                      <a:ext cx="5753100" cy="4962525"/>
                    </a:xfrm>
                    <a:prstGeom prst="rect">
                      <a:avLst/>
                    </a:prstGeom>
                    <a:noFill/>
                    <a:ln>
                      <a:noFill/>
                    </a:ln>
                  </pic:spPr>
                </pic:pic>
              </a:graphicData>
            </a:graphic>
          </wp:inline>
        </w:drawing>
      </w: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434889" w:rsidP="00D959A7">
      <w:pPr>
        <w:pStyle w:val="Figure"/>
      </w:pPr>
      <w:r>
        <w:rPr>
          <w:noProof/>
          <w:lang w:val="en-GB" w:eastAsia="en-GB"/>
        </w:rPr>
        <w:drawing>
          <wp:inline distT="0" distB="0" distL="0" distR="0">
            <wp:extent cx="5753100" cy="773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t="1399"/>
                    <a:stretch>
                      <a:fillRect/>
                    </a:stretch>
                  </pic:blipFill>
                  <pic:spPr bwMode="auto">
                    <a:xfrm>
                      <a:off x="0" y="0"/>
                      <a:ext cx="5753100" cy="7734300"/>
                    </a:xfrm>
                    <a:prstGeom prst="rect">
                      <a:avLst/>
                    </a:prstGeom>
                    <a:noFill/>
                    <a:ln>
                      <a:noFill/>
                    </a:ln>
                  </pic:spPr>
                </pic:pic>
              </a:graphicData>
            </a:graphic>
          </wp:inline>
        </w:drawing>
      </w: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Figure"/>
      </w:pPr>
    </w:p>
    <w:p w:rsidR="00D959A7" w:rsidRDefault="00D959A7" w:rsidP="00D959A7">
      <w:pPr>
        <w:pStyle w:val="Figure"/>
      </w:pPr>
    </w:p>
    <w:p w:rsidR="00D959A7" w:rsidRDefault="00D959A7" w:rsidP="00D959A7">
      <w:pPr>
        <w:pStyle w:val="Figure"/>
      </w:pPr>
    </w:p>
    <w:p w:rsidR="00D959A7" w:rsidRDefault="00434889" w:rsidP="00D959A7">
      <w:pPr>
        <w:pStyle w:val="Figure"/>
      </w:pPr>
      <w:r w:rsidRPr="00B579E1">
        <w:rPr>
          <w:noProof/>
          <w:lang w:val="en-GB" w:eastAsia="en-GB"/>
        </w:rPr>
        <w:drawing>
          <wp:inline distT="0" distB="0" distL="0" distR="0">
            <wp:extent cx="5753100" cy="69056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t="1773"/>
                    <a:stretch>
                      <a:fillRect/>
                    </a:stretch>
                  </pic:blipFill>
                  <pic:spPr bwMode="auto">
                    <a:xfrm>
                      <a:off x="0" y="0"/>
                      <a:ext cx="5753100" cy="6905625"/>
                    </a:xfrm>
                    <a:prstGeom prst="rect">
                      <a:avLst/>
                    </a:prstGeom>
                    <a:noFill/>
                    <a:ln>
                      <a:noFill/>
                    </a:ln>
                  </pic:spPr>
                </pic:pic>
              </a:graphicData>
            </a:graphic>
          </wp:inline>
        </w:drawing>
      </w:r>
      <w:r>
        <w:rPr>
          <w:noProof/>
          <w:lang w:val="en-GB" w:eastAsia="en-GB"/>
        </w:rPr>
        <w:drawing>
          <wp:inline distT="0" distB="0" distL="0" distR="0">
            <wp:extent cx="5753100" cy="46101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3100" cy="4610100"/>
                    </a:xfrm>
                    <a:prstGeom prst="rect">
                      <a:avLst/>
                    </a:prstGeom>
                    <a:noFill/>
                    <a:ln>
                      <a:noFill/>
                    </a:ln>
                  </pic:spPr>
                </pic:pic>
              </a:graphicData>
            </a:graphic>
          </wp:inline>
        </w:drawing>
      </w: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434889" w:rsidP="00D959A7">
      <w:pPr>
        <w:pStyle w:val="Paragrafi"/>
      </w:pPr>
      <w:r>
        <w:rPr>
          <w:noProof/>
          <w:lang w:val="en-GB" w:eastAsia="en-GB"/>
        </w:rPr>
        <w:drawing>
          <wp:inline distT="0" distB="0" distL="0" distR="0">
            <wp:extent cx="5753100" cy="7029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3100" cy="7029450"/>
                    </a:xfrm>
                    <a:prstGeom prst="rect">
                      <a:avLst/>
                    </a:prstGeom>
                    <a:noFill/>
                    <a:ln>
                      <a:noFill/>
                    </a:ln>
                  </pic:spPr>
                </pic:pic>
              </a:graphicData>
            </a:graphic>
          </wp:inline>
        </w:drawing>
      </w: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434889" w:rsidP="00D959A7">
      <w:pPr>
        <w:pStyle w:val="Paragrafi"/>
      </w:pPr>
      <w:r>
        <w:rPr>
          <w:noProof/>
          <w:lang w:val="en-GB" w:eastAsia="en-GB"/>
        </w:rPr>
        <w:drawing>
          <wp:inline distT="0" distB="0" distL="0" distR="0">
            <wp:extent cx="5753100" cy="59055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t="1825"/>
                    <a:stretch>
                      <a:fillRect/>
                    </a:stretch>
                  </pic:blipFill>
                  <pic:spPr bwMode="auto">
                    <a:xfrm>
                      <a:off x="0" y="0"/>
                      <a:ext cx="5753100" cy="5905500"/>
                    </a:xfrm>
                    <a:prstGeom prst="rect">
                      <a:avLst/>
                    </a:prstGeom>
                    <a:noFill/>
                    <a:ln>
                      <a:noFill/>
                    </a:ln>
                  </pic:spPr>
                </pic:pic>
              </a:graphicData>
            </a:graphic>
          </wp:inline>
        </w:drawing>
      </w: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434889" w:rsidP="00D959A7">
      <w:pPr>
        <w:pStyle w:val="Paragrafi"/>
      </w:pPr>
      <w:r>
        <w:rPr>
          <w:noProof/>
          <w:lang w:val="en-GB" w:eastAsia="en-GB"/>
        </w:rPr>
        <w:drawing>
          <wp:inline distT="0" distB="0" distL="0" distR="0">
            <wp:extent cx="5943600" cy="55911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t="1926"/>
                    <a:stretch>
                      <a:fillRect/>
                    </a:stretch>
                  </pic:blipFill>
                  <pic:spPr bwMode="auto">
                    <a:xfrm>
                      <a:off x="0" y="0"/>
                      <a:ext cx="5943600" cy="5591175"/>
                    </a:xfrm>
                    <a:prstGeom prst="rect">
                      <a:avLst/>
                    </a:prstGeom>
                    <a:noFill/>
                    <a:ln>
                      <a:noFill/>
                    </a:ln>
                  </pic:spPr>
                </pic:pic>
              </a:graphicData>
            </a:graphic>
          </wp:inline>
        </w:drawing>
      </w: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434889" w:rsidP="00D959A7">
      <w:pPr>
        <w:pStyle w:val="Paragrafi"/>
      </w:pPr>
      <w:r>
        <w:rPr>
          <w:noProof/>
          <w:lang w:val="en-GB" w:eastAsia="en-GB"/>
        </w:rPr>
        <w:drawing>
          <wp:inline distT="0" distB="0" distL="0" distR="0">
            <wp:extent cx="5762625" cy="72294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t="3006"/>
                    <a:stretch>
                      <a:fillRect/>
                    </a:stretch>
                  </pic:blipFill>
                  <pic:spPr bwMode="auto">
                    <a:xfrm>
                      <a:off x="0" y="0"/>
                      <a:ext cx="5762625" cy="7229475"/>
                    </a:xfrm>
                    <a:prstGeom prst="rect">
                      <a:avLst/>
                    </a:prstGeom>
                    <a:noFill/>
                    <a:ln>
                      <a:noFill/>
                    </a:ln>
                  </pic:spPr>
                </pic:pic>
              </a:graphicData>
            </a:graphic>
          </wp:inline>
        </w:drawing>
      </w: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434889" w:rsidP="00D959A7">
      <w:pPr>
        <w:pStyle w:val="Paragrafi"/>
      </w:pPr>
      <w:r>
        <w:rPr>
          <w:noProof/>
          <w:lang w:val="en-GB" w:eastAsia="en-GB"/>
        </w:rPr>
        <w:drawing>
          <wp:inline distT="0" distB="0" distL="0" distR="0">
            <wp:extent cx="5762625" cy="52578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t="2049"/>
                    <a:stretch>
                      <a:fillRect/>
                    </a:stretch>
                  </pic:blipFill>
                  <pic:spPr bwMode="auto">
                    <a:xfrm>
                      <a:off x="0" y="0"/>
                      <a:ext cx="5762625" cy="5257800"/>
                    </a:xfrm>
                    <a:prstGeom prst="rect">
                      <a:avLst/>
                    </a:prstGeom>
                    <a:noFill/>
                    <a:ln>
                      <a:noFill/>
                    </a:ln>
                  </pic:spPr>
                </pic:pic>
              </a:graphicData>
            </a:graphic>
          </wp:inline>
        </w:drawing>
      </w: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D959A7" w:rsidP="00D959A7">
      <w:pPr>
        <w:pStyle w:val="Paragrafi"/>
      </w:pPr>
    </w:p>
    <w:p w:rsidR="00D959A7" w:rsidRDefault="00434889" w:rsidP="00D959A7">
      <w:pPr>
        <w:pStyle w:val="Paragrafi"/>
      </w:pPr>
      <w:r>
        <w:rPr>
          <w:noProof/>
          <w:lang w:val="en-GB" w:eastAsia="en-GB"/>
        </w:rPr>
        <w:drawing>
          <wp:inline distT="0" distB="0" distL="0" distR="0">
            <wp:extent cx="5753100" cy="40290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rcRect t="2560"/>
                    <a:stretch>
                      <a:fillRect/>
                    </a:stretch>
                  </pic:blipFill>
                  <pic:spPr bwMode="auto">
                    <a:xfrm>
                      <a:off x="0" y="0"/>
                      <a:ext cx="5753100" cy="4029075"/>
                    </a:xfrm>
                    <a:prstGeom prst="rect">
                      <a:avLst/>
                    </a:prstGeom>
                    <a:noFill/>
                    <a:ln>
                      <a:noFill/>
                    </a:ln>
                  </pic:spPr>
                </pic:pic>
              </a:graphicData>
            </a:graphic>
          </wp:inline>
        </w:drawing>
      </w:r>
    </w:p>
    <w:p w:rsidR="00D959A7" w:rsidRDefault="00D959A7" w:rsidP="00FA0F21">
      <w:pPr>
        <w:pStyle w:val="Paragrafi"/>
      </w:pPr>
    </w:p>
    <w:p w:rsidR="00D959A7" w:rsidRDefault="00D959A7" w:rsidP="00FA0F21">
      <w:pPr>
        <w:pStyle w:val="Paragrafi"/>
      </w:pPr>
    </w:p>
    <w:p w:rsidR="000D478E" w:rsidRDefault="000D478E" w:rsidP="00FA0F21">
      <w:pPr>
        <w:pStyle w:val="Paragrafi"/>
      </w:pPr>
    </w:p>
    <w:sectPr w:rsidR="000D478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D478E"/>
    <w:rsid w:val="000D478E"/>
    <w:rsid w:val="00434889"/>
    <w:rsid w:val="00D959A7"/>
    <w:rsid w:val="00FA0F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6FD8E8B-30CB-401E-94A4-06CCA1D29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0D478E"/>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0D478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0D478E"/>
    <w:rPr>
      <w:rFonts w:ascii="CG Times" w:hAnsi="CG Times"/>
      <w:sz w:val="22"/>
      <w:lang w:eastAsia="en-US"/>
    </w:rPr>
  </w:style>
  <w:style w:type="paragraph" w:customStyle="1" w:styleId="AneksiNr">
    <w:name w:val="Aneksi_Nr"/>
    <w:next w:val="Normal"/>
    <w:rsid w:val="000D478E"/>
    <w:pPr>
      <w:keepNext/>
      <w:widowControl w:val="0"/>
      <w:jc w:val="center"/>
    </w:pPr>
    <w:rPr>
      <w:rFonts w:ascii="CG Times" w:hAnsi="CG Times"/>
      <w:caps/>
      <w:sz w:val="22"/>
      <w:szCs w:val="22"/>
      <w:lang w:eastAsia="en-US"/>
    </w:rPr>
  </w:style>
  <w:style w:type="paragraph" w:customStyle="1" w:styleId="AneksiTitull">
    <w:name w:val="Aneksi_Titull"/>
    <w:next w:val="Normal"/>
    <w:rsid w:val="000D478E"/>
    <w:pPr>
      <w:jc w:val="center"/>
    </w:pPr>
    <w:rPr>
      <w:rFonts w:ascii="CG Times" w:hAnsi="CG Times"/>
      <w:sz w:val="24"/>
      <w:szCs w:val="24"/>
      <w:lang w:eastAsia="en-US"/>
    </w:rPr>
  </w:style>
  <w:style w:type="paragraph" w:customStyle="1" w:styleId="Autoriteti">
    <w:name w:val="Autoriteti"/>
    <w:next w:val="Normal"/>
    <w:rsid w:val="000D478E"/>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0D478E"/>
    <w:pPr>
      <w:widowControl w:val="0"/>
      <w:jc w:val="right"/>
    </w:pPr>
    <w:rPr>
      <w:rFonts w:ascii="CG Times" w:hAnsi="CG Times"/>
      <w:b/>
      <w:sz w:val="22"/>
      <w:szCs w:val="22"/>
      <w:lang w:eastAsia="en-US"/>
    </w:rPr>
  </w:style>
  <w:style w:type="paragraph" w:customStyle="1" w:styleId="BazLigjPropozues">
    <w:name w:val="Baz_Ligj_Propozues"/>
    <w:rsid w:val="000D478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0D478E"/>
    <w:pPr>
      <w:jc w:val="center"/>
    </w:pPr>
    <w:rPr>
      <w:rFonts w:ascii="CG Times" w:hAnsi="CG Times"/>
      <w:caps/>
      <w:sz w:val="22"/>
      <w:szCs w:val="22"/>
      <w:lang w:eastAsia="en-US"/>
    </w:rPr>
  </w:style>
  <w:style w:type="paragraph" w:customStyle="1" w:styleId="Figure">
    <w:name w:val="Figure"/>
    <w:next w:val="Normal"/>
    <w:rsid w:val="000D478E"/>
    <w:pPr>
      <w:widowControl w:val="0"/>
      <w:outlineLvl w:val="2"/>
    </w:pPr>
    <w:rPr>
      <w:rFonts w:ascii="CG Times" w:hAnsi="CG Times"/>
      <w:sz w:val="22"/>
      <w:lang w:val="en-US" w:eastAsia="en-US"/>
    </w:rPr>
  </w:style>
  <w:style w:type="paragraph" w:customStyle="1" w:styleId="Institucioni">
    <w:name w:val="Institucioni"/>
    <w:next w:val="Normal"/>
    <w:rsid w:val="000D478E"/>
    <w:pPr>
      <w:keepNext/>
      <w:widowControl w:val="0"/>
      <w:jc w:val="center"/>
    </w:pPr>
    <w:rPr>
      <w:rFonts w:ascii="CG Times" w:hAnsi="CG Times"/>
      <w:caps/>
      <w:sz w:val="22"/>
      <w:szCs w:val="22"/>
      <w:lang w:eastAsia="en-US"/>
    </w:rPr>
  </w:style>
  <w:style w:type="paragraph" w:customStyle="1" w:styleId="Kapakufund">
    <w:name w:val="Kapaku_fund"/>
    <w:next w:val="Normal"/>
    <w:rsid w:val="000D478E"/>
    <w:pPr>
      <w:pageBreakBefore/>
    </w:pPr>
    <w:rPr>
      <w:rFonts w:ascii="CG Times" w:hAnsi="CG Times"/>
      <w:b/>
      <w:sz w:val="22"/>
      <w:szCs w:val="22"/>
      <w:lang w:val="en-US" w:eastAsia="en-US"/>
    </w:rPr>
  </w:style>
  <w:style w:type="paragraph" w:customStyle="1" w:styleId="KapitulliNr">
    <w:name w:val="Kapitulli_Nr"/>
    <w:rsid w:val="000D478E"/>
    <w:pPr>
      <w:keepNext/>
      <w:widowControl w:val="0"/>
      <w:jc w:val="center"/>
    </w:pPr>
    <w:rPr>
      <w:rFonts w:ascii="CG Times" w:hAnsi="CG Times"/>
      <w:caps/>
      <w:sz w:val="22"/>
      <w:szCs w:val="22"/>
      <w:lang w:eastAsia="en-US"/>
    </w:rPr>
  </w:style>
  <w:style w:type="paragraph" w:customStyle="1" w:styleId="KapitulliTitull">
    <w:name w:val="Kapitulli_Titull"/>
    <w:rsid w:val="000D478E"/>
    <w:pPr>
      <w:keepNext/>
      <w:widowControl w:val="0"/>
      <w:jc w:val="center"/>
    </w:pPr>
    <w:rPr>
      <w:rFonts w:ascii="CG Times" w:hAnsi="CG Times"/>
      <w:caps/>
      <w:sz w:val="22"/>
      <w:szCs w:val="22"/>
      <w:lang w:eastAsia="en-US"/>
    </w:rPr>
  </w:style>
  <w:style w:type="paragraph" w:customStyle="1" w:styleId="KreuNr">
    <w:name w:val="Kreu_Nr"/>
    <w:rsid w:val="000D478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0D478E"/>
    <w:pPr>
      <w:keepNext/>
      <w:widowControl w:val="0"/>
      <w:jc w:val="center"/>
    </w:pPr>
    <w:rPr>
      <w:rFonts w:ascii="CG Times" w:hAnsi="CG Times"/>
      <w:caps/>
      <w:sz w:val="22"/>
      <w:szCs w:val="22"/>
      <w:lang w:val="en-US" w:eastAsia="en-US"/>
    </w:rPr>
  </w:style>
  <w:style w:type="paragraph" w:customStyle="1" w:styleId="Ndryshimet">
    <w:name w:val="Ndryshimet"/>
    <w:next w:val="Normal"/>
    <w:rsid w:val="000D478E"/>
    <w:pPr>
      <w:keepNext/>
      <w:widowControl w:val="0"/>
      <w:jc w:val="center"/>
    </w:pPr>
    <w:rPr>
      <w:rFonts w:ascii="CG Times" w:hAnsi="CG Times"/>
      <w:i/>
      <w:sz w:val="22"/>
      <w:lang w:val="en-US" w:eastAsia="en-US"/>
    </w:rPr>
  </w:style>
  <w:style w:type="paragraph" w:customStyle="1" w:styleId="NeniNr">
    <w:name w:val="Neni_Nr"/>
    <w:next w:val="Normal"/>
    <w:rsid w:val="000D478E"/>
    <w:pPr>
      <w:keepNext/>
      <w:widowControl w:val="0"/>
      <w:jc w:val="center"/>
    </w:pPr>
    <w:rPr>
      <w:rFonts w:ascii="CG Times" w:hAnsi="CG Times"/>
      <w:sz w:val="22"/>
      <w:lang w:eastAsia="en-US"/>
    </w:rPr>
  </w:style>
  <w:style w:type="paragraph" w:customStyle="1" w:styleId="NeniTitull">
    <w:name w:val="Neni_Titull"/>
    <w:next w:val="Normal"/>
    <w:rsid w:val="000D478E"/>
    <w:pPr>
      <w:keepNext/>
      <w:widowControl w:val="0"/>
      <w:jc w:val="center"/>
      <w:outlineLvl w:val="2"/>
    </w:pPr>
    <w:rPr>
      <w:rFonts w:ascii="CG Times" w:hAnsi="CG Times"/>
      <w:b/>
      <w:sz w:val="22"/>
      <w:lang w:eastAsia="en-US"/>
    </w:rPr>
  </w:style>
  <w:style w:type="paragraph" w:customStyle="1" w:styleId="NenkreuNr">
    <w:name w:val="Nenkreu_Nr"/>
    <w:rsid w:val="000D478E"/>
    <w:pPr>
      <w:keepNext/>
      <w:widowControl w:val="0"/>
      <w:jc w:val="center"/>
    </w:pPr>
    <w:rPr>
      <w:rFonts w:ascii="CG Times" w:hAnsi="CG Times"/>
      <w:caps/>
      <w:sz w:val="22"/>
      <w:szCs w:val="22"/>
      <w:lang w:eastAsia="en-US"/>
    </w:rPr>
  </w:style>
  <w:style w:type="paragraph" w:customStyle="1" w:styleId="NenkreuTitull">
    <w:name w:val="Nenkreu_Titull"/>
    <w:rsid w:val="000D478E"/>
    <w:pPr>
      <w:jc w:val="center"/>
    </w:pPr>
    <w:rPr>
      <w:rFonts w:ascii="CG Times" w:hAnsi="CG Times"/>
      <w:caps/>
      <w:sz w:val="22"/>
      <w:szCs w:val="22"/>
      <w:lang w:eastAsia="en-US"/>
    </w:rPr>
  </w:style>
  <w:style w:type="paragraph" w:customStyle="1" w:styleId="Nenpika">
    <w:name w:val="Nenpika"/>
    <w:next w:val="Normal"/>
    <w:autoRedefine/>
    <w:rsid w:val="000D478E"/>
    <w:pPr>
      <w:ind w:firstLine="720"/>
    </w:pPr>
    <w:rPr>
      <w:rFonts w:ascii="CG Times" w:hAnsi="CG Times"/>
      <w:sz w:val="22"/>
      <w:lang w:val="en-US" w:eastAsia="en-US"/>
    </w:rPr>
  </w:style>
  <w:style w:type="paragraph" w:customStyle="1" w:styleId="NumriData">
    <w:name w:val="Numri_Data"/>
    <w:next w:val="Normal"/>
    <w:link w:val="NumriDataChar"/>
    <w:rsid w:val="000D478E"/>
    <w:pPr>
      <w:keepNext/>
      <w:widowControl w:val="0"/>
      <w:jc w:val="center"/>
      <w:outlineLvl w:val="0"/>
    </w:pPr>
    <w:rPr>
      <w:rFonts w:ascii="CG Times" w:hAnsi="CG Times"/>
      <w:b/>
      <w:sz w:val="22"/>
      <w:lang w:eastAsia="en-US"/>
    </w:rPr>
  </w:style>
  <w:style w:type="paragraph" w:customStyle="1" w:styleId="Paragrafi">
    <w:name w:val="Paragrafi"/>
    <w:rsid w:val="000D478E"/>
    <w:pPr>
      <w:widowControl w:val="0"/>
      <w:ind w:firstLine="720"/>
      <w:jc w:val="both"/>
    </w:pPr>
    <w:rPr>
      <w:rFonts w:ascii="CG Times" w:hAnsi="CG Times"/>
      <w:sz w:val="22"/>
      <w:lang w:val="en-US" w:eastAsia="en-US"/>
    </w:rPr>
  </w:style>
  <w:style w:type="paragraph" w:customStyle="1" w:styleId="Pika">
    <w:name w:val="Pika"/>
    <w:next w:val="Normal"/>
    <w:autoRedefine/>
    <w:rsid w:val="000D478E"/>
    <w:pPr>
      <w:ind w:firstLine="720"/>
    </w:pPr>
    <w:rPr>
      <w:rFonts w:ascii="CG Times" w:hAnsi="CG Times"/>
      <w:sz w:val="22"/>
      <w:lang w:val="en-US" w:eastAsia="en-US"/>
    </w:rPr>
  </w:style>
  <w:style w:type="paragraph" w:customStyle="1" w:styleId="PikeKreu">
    <w:name w:val="Pike_Kreu"/>
    <w:basedOn w:val="Heading1"/>
    <w:rsid w:val="000D478E"/>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0D478E"/>
    <w:pPr>
      <w:keepNext/>
      <w:widowControl w:val="0"/>
      <w:jc w:val="center"/>
    </w:pPr>
    <w:rPr>
      <w:rFonts w:ascii="CG Times" w:hAnsi="CG Times"/>
      <w:caps/>
      <w:sz w:val="22"/>
      <w:szCs w:val="22"/>
      <w:lang w:eastAsia="en-US"/>
    </w:rPr>
  </w:style>
  <w:style w:type="paragraph" w:customStyle="1" w:styleId="PjesaTitull">
    <w:name w:val="Pjesa_Titull"/>
    <w:rsid w:val="000D478E"/>
    <w:pPr>
      <w:keepNext/>
      <w:widowControl w:val="0"/>
      <w:jc w:val="center"/>
    </w:pPr>
    <w:rPr>
      <w:rFonts w:ascii="CG Times" w:hAnsi="CG Times"/>
      <w:caps/>
      <w:sz w:val="22"/>
      <w:szCs w:val="22"/>
      <w:lang w:eastAsia="en-US"/>
    </w:rPr>
  </w:style>
  <w:style w:type="paragraph" w:customStyle="1" w:styleId="Shpallja">
    <w:name w:val="Shpallja"/>
    <w:rsid w:val="000D478E"/>
    <w:pPr>
      <w:widowControl w:val="0"/>
      <w:jc w:val="both"/>
    </w:pPr>
    <w:rPr>
      <w:rFonts w:ascii="CG Times" w:hAnsi="CG Times"/>
      <w:b/>
      <w:color w:val="000000"/>
      <w:sz w:val="22"/>
      <w:szCs w:val="22"/>
      <w:lang w:val="sq-AL" w:eastAsia="en-US"/>
    </w:rPr>
  </w:style>
  <w:style w:type="paragraph" w:customStyle="1" w:styleId="Tabele">
    <w:name w:val="Tabele"/>
    <w:rsid w:val="000D478E"/>
    <w:rPr>
      <w:rFonts w:ascii="CG Times" w:hAnsi="CG Times"/>
      <w:sz w:val="22"/>
      <w:lang w:eastAsia="en-US"/>
    </w:rPr>
  </w:style>
  <w:style w:type="paragraph" w:customStyle="1" w:styleId="Titulli">
    <w:name w:val="Titulli"/>
    <w:next w:val="Normal"/>
    <w:rsid w:val="000D478E"/>
    <w:pPr>
      <w:keepNext/>
      <w:widowControl w:val="0"/>
      <w:jc w:val="center"/>
      <w:outlineLvl w:val="1"/>
    </w:pPr>
    <w:rPr>
      <w:rFonts w:ascii="CG Times" w:hAnsi="CG Times"/>
      <w:b/>
      <w:caps/>
      <w:sz w:val="22"/>
      <w:szCs w:val="22"/>
      <w:lang w:eastAsia="en-US"/>
    </w:rPr>
  </w:style>
  <w:style w:type="paragraph" w:customStyle="1" w:styleId="TitulliNr">
    <w:name w:val="Titulli_Nr"/>
    <w:rsid w:val="000D478E"/>
    <w:pPr>
      <w:keepNext/>
      <w:widowControl w:val="0"/>
      <w:jc w:val="center"/>
    </w:pPr>
    <w:rPr>
      <w:rFonts w:ascii="CG Times" w:hAnsi="CG Times"/>
      <w:caps/>
      <w:sz w:val="22"/>
      <w:szCs w:val="22"/>
      <w:lang w:eastAsia="en-US"/>
    </w:rPr>
  </w:style>
  <w:style w:type="paragraph" w:customStyle="1" w:styleId="TitulliTitull">
    <w:name w:val="Titulli_Titull"/>
    <w:rsid w:val="000D478E"/>
    <w:pPr>
      <w:keepNext/>
      <w:widowControl w:val="0"/>
      <w:jc w:val="center"/>
      <w:outlineLvl w:val="0"/>
    </w:pPr>
    <w:rPr>
      <w:rFonts w:ascii="CG Times" w:hAnsi="CG Times"/>
      <w:caps/>
      <w:sz w:val="22"/>
      <w:szCs w:val="22"/>
      <w:lang w:eastAsia="en-US"/>
    </w:rPr>
  </w:style>
  <w:style w:type="paragraph" w:customStyle="1" w:styleId="VENDOSI">
    <w:name w:val="VENDOSI"/>
    <w:next w:val="Normal"/>
    <w:rsid w:val="000D478E"/>
    <w:pPr>
      <w:keepNext/>
      <w:widowControl w:val="0"/>
      <w:jc w:val="center"/>
    </w:pPr>
    <w:rPr>
      <w:rFonts w:ascii="CG Times" w:hAnsi="CG Times"/>
      <w:caps/>
      <w:sz w:val="22"/>
      <w:szCs w:val="22"/>
      <w:lang w:eastAsia="en-US"/>
    </w:rPr>
  </w:style>
  <w:style w:type="character" w:customStyle="1" w:styleId="NumriDataChar">
    <w:name w:val="Numri_Data Char"/>
    <w:basedOn w:val="DefaultParagraphFont"/>
    <w:link w:val="NumriData"/>
    <w:rsid w:val="00D959A7"/>
    <w:rPr>
      <w:rFonts w:ascii="CG Times" w:hAnsi="CG Times"/>
      <w:b/>
      <w:sz w:val="22"/>
      <w:lang w:val="en-GB" w:eastAsia="en-US" w:bidi="ar-SA"/>
    </w:rPr>
  </w:style>
  <w:style w:type="character" w:customStyle="1" w:styleId="AutoritetiEmerChar">
    <w:name w:val="Autoriteti_Emer Char"/>
    <w:basedOn w:val="DefaultParagraphFont"/>
    <w:link w:val="AutoritetiEmer"/>
    <w:rsid w:val="00D959A7"/>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1531</Words>
  <Characters>8733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10244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Lida</dc:creator>
  <cp:keywords/>
  <dc:description/>
  <cp:lastModifiedBy>Inida Noga</cp:lastModifiedBy>
  <cp:revision>2</cp:revision>
  <dcterms:created xsi:type="dcterms:W3CDTF">2019-03-16T13:46:00Z</dcterms:created>
  <dcterms:modified xsi:type="dcterms:W3CDTF">2019-03-16T13:46:00Z</dcterms:modified>
</cp:coreProperties>
</file>