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8BA" w:rsidRPr="00C6455E" w:rsidRDefault="002D48BA" w:rsidP="002D48BA">
      <w:pPr>
        <w:pStyle w:val="Akti"/>
        <w:rPr>
          <w:sz w:val="21"/>
          <w:szCs w:val="21"/>
          <w:lang w:val="de-DE"/>
        </w:rPr>
      </w:pPr>
      <w:bookmarkStart w:id="0" w:name="_GoBack"/>
      <w:bookmarkEnd w:id="0"/>
      <w:r w:rsidRPr="00C6455E">
        <w:rPr>
          <w:sz w:val="21"/>
          <w:szCs w:val="21"/>
          <w:lang w:val="de-DE"/>
        </w:rPr>
        <w:t>VENDIM</w:t>
      </w:r>
    </w:p>
    <w:p w:rsidR="002D48BA" w:rsidRPr="002D48BA" w:rsidRDefault="002D48BA" w:rsidP="002D48BA">
      <w:pPr>
        <w:pStyle w:val="NumriData"/>
      </w:pPr>
      <w:r w:rsidRPr="002D48BA">
        <w:t>Nr.603 ,datë 8.9.2006</w:t>
      </w:r>
    </w:p>
    <w:p w:rsidR="002D48BA" w:rsidRPr="00C6455E" w:rsidRDefault="002D48BA" w:rsidP="002D48BA">
      <w:pPr>
        <w:pStyle w:val="Paragrafi"/>
        <w:rPr>
          <w:sz w:val="13"/>
          <w:szCs w:val="21"/>
          <w:lang w:val="de-DE"/>
        </w:rPr>
      </w:pPr>
    </w:p>
    <w:p w:rsidR="002D48BA" w:rsidRPr="00C6455E" w:rsidRDefault="002D48BA" w:rsidP="002D48BA">
      <w:pPr>
        <w:pStyle w:val="Titull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PËR RREGULLAT DHE VEPRIMET E ZYRAVE TË GJENDJES CIVILE, PËR TRANSFERIMIN E TË DHËNAVE TË GJENDJES CIVILE TË SHTETASVE, TË REGJISTRUAR NË REGJISTRIN E PËRKOHSHËM</w:t>
      </w:r>
    </w:p>
    <w:p w:rsidR="002D48BA" w:rsidRPr="00C6455E" w:rsidRDefault="002D48BA" w:rsidP="002D48BA">
      <w:pPr>
        <w:pStyle w:val="Paragrafi"/>
        <w:rPr>
          <w:sz w:val="13"/>
          <w:szCs w:val="21"/>
          <w:lang w:val="de-DE"/>
        </w:rPr>
      </w:pPr>
    </w:p>
    <w:p w:rsidR="002D48BA" w:rsidRPr="00C6455E" w:rsidRDefault="002D48BA" w:rsidP="002D48BA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Në mbështetje të nenit 100 të Kushtetutës, të pikave 1, 5 e 7, të nenit 12 të ligjit nr.8950, datë 10.10.2002 “Për gjendjen civile”, të ndryshuar, të ligjit nr.8927, datë 25.7.2002 “Për prefektin”, të neneve 21 e 27, të ligjit nr.8379, datë 29.7.1998, “Për hartimin dhe zbatimin e Buxhetit të Shtetit të Republikës së Shqipërisë”, dhe të nenit 12, të ligjit nr.9464, datë 22.12.2005 “Për Buxhetin e Shtetit të vitit 2006”, me propozimin e Ministrit të Brendshëm, Këshilli i Ministrave</w:t>
      </w:r>
    </w:p>
    <w:p w:rsidR="002D48BA" w:rsidRPr="00C6455E" w:rsidRDefault="002D48BA" w:rsidP="002D48BA">
      <w:pPr>
        <w:pStyle w:val="Paragrafi"/>
        <w:rPr>
          <w:sz w:val="17"/>
          <w:szCs w:val="21"/>
          <w:lang w:val="de-DE"/>
        </w:rPr>
      </w:pPr>
    </w:p>
    <w:p w:rsidR="002D48BA" w:rsidRPr="00C6455E" w:rsidRDefault="002D48BA" w:rsidP="002D48BA">
      <w:pPr>
        <w:pStyle w:val="VENDOS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VENDOSI:</w:t>
      </w:r>
    </w:p>
    <w:p w:rsidR="002D48BA" w:rsidRPr="00C6455E" w:rsidRDefault="002D48BA" w:rsidP="002D48BA">
      <w:pPr>
        <w:pStyle w:val="Paragrafi"/>
        <w:rPr>
          <w:sz w:val="15"/>
          <w:szCs w:val="21"/>
          <w:lang w:val="de-DE"/>
        </w:rPr>
      </w:pPr>
    </w:p>
    <w:p w:rsidR="002D48BA" w:rsidRPr="00C6455E" w:rsidRDefault="002D48BA" w:rsidP="002D48BA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1. Transferimi i të dhënave të gjendjes civile të shtetasve, të regjistruar në regjistrin e përkohshëm, në zbatim të ligjit nr.9296, datë 21.10.2004, “Për verifikimin, identifikimin dhe regjistrimin e shtetasve nga njësitë e qeverisjes vendore”, të bëhet nga zyrat e gjendjes civile të vendbanimit të tyre në zyrat e gjendjes civile, ku janë regjistruar në regjistrin e përkohshëm.</w:t>
      </w:r>
    </w:p>
    <w:p w:rsidR="002D48BA" w:rsidRPr="00C6455E" w:rsidRDefault="002D48BA" w:rsidP="002D48BA">
      <w:pPr>
        <w:pStyle w:val="Paragrafi"/>
        <w:rPr>
          <w:sz w:val="21"/>
          <w:szCs w:val="21"/>
          <w:lang w:val="de-DE"/>
        </w:rPr>
      </w:pPr>
      <w:r w:rsidRPr="00C6455E">
        <w:rPr>
          <w:sz w:val="21"/>
          <w:szCs w:val="21"/>
          <w:lang w:val="de-DE"/>
        </w:rPr>
        <w:t>2. Zyrat e gjendjes civile, brenda 2 ditëve nga hyrja në fuqi e këtij vendimi, të evidentojnë dhe të bëjnë ndarjen e shtetasve, të regjistruar në regjistrin e përkohshëm, sipas zonave të qendrave të votimit, që ndodhen në territorin, që mbulon ajo zyrë e gjendjes civile.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3. Transferimi i të dhënave të gjendjes civile, sipas përcaktimit të pikës 1, të bëhet sipas kësaj procedure: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a) Kryetarët e njësive të qeverisjes vendore, brenda 3 ditëve nga hyrja në fuqi e këtij vendimi, të caktojnë për territorin e çdo qendre votimi, grupet dyshe të punës, të cilët do të kontaktojnë me shtetasit e regjistruar në regjistrin e përkohshëm. Për qendrat e votimit, që kanë më shumë se 20 familje në regjistrin e përkohshëm, caktohen dy grupe pune. Anëtarët e grupeve dyshe propozohen, përkatësisht, nga dy forcat më të mëdha politike, të përfaqësuara në këshillin përkatës. Grupet e punës pajisen me listën e shtetasve, të regjistruar në regjistrin e përkohshëm të territorit të zonës së qendrës së votimit përkatës, ku për çdo familje, është shënuar adresa shifrore zgjedhore, dhe me hartën e zonës së qendrës së votimit. Grupet e punës, pasi kontaktojnë kryefamiljarët, plotësojnë deklarimin e shtetasve për transferimin e të dhënave të gjendjes civile në adresën, ku kanë regjistrin e përkohshëm, sipas formularit 5, që i bashkëlidhet këtij vendimi. Grupet e punës, dorëzojnë, çdo ditë, në zyrat e gjendjes civile, deklarimet e plotësuara të shtetasve. Nëse kryefamiljarët nuk kontaktohen, grupi i punës lë njoftimin përkatës, në të cilin janë përcaktuar data dhe ora, kur grupi i punës do të vijë përsëri. Ky proces do të përsëritet tre herë. Ky proces kryhet brenda 10 ditëve. Zyrat e gjendjes civile marrin dhe administrojnë edhe deklarimet, të cilat mund të bëhen vullnetarisht nga shtetasit gjatë gjithë kohës së këtij procesi.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b) Me marrjen e deklarimeve të shtetasve, zyra e gjendjes civile, ku shtetasit kanë regjistrin e përkohshëm, i kërkon zyrtarisht, sipas formularit model 1, zyrës së gjendjes civile të vendbanimit, dokumentin përkatës (fletëfamiljen) me të dhënat e gjendjes civile të shtetasit/ve. Ky proces kryhet në të njëjtën ditë me dorëzimin e deklarimeve.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c) Zyrat e gjendjes civile, me plotësimin e formularit, bëjnë dorëzimin, çdo ditë, të formularit model 1 për zyrat e gjendjes civile, brenda të njëjtës njësi vendore. E njëjta procedurë ndiqet dhe për njësitë bashkiake të Tiranës, si dhe për bashkitë dhe komunat, që mund të jenë kufitare me njësinë vendore. Për njësitë e tjera, dorëzimi bëhet brenda ditës në degët e gjendjes civile në rreth, të cilat brenda të njëjtës ditë bëjnë shpërndarjen e këtij dokumentacioni për në zyrat e gjendjes civile të njësive vendore të të njëjtit rreth. Formularët, që u përkasin njësive të tjera të qeverisjes vendore, dorëzohen brenda ditës në zyrën e gjendjes civile në qark. Zyra e gjendjes civile në qark u dërgon, brenda 24 orëve, formularin model 1, zyrave të gjendjes civile në rreth, të cilat e dërgojnë brenda ditës në njësitë vendore përkatëse. Zyra e gjendjes civile në qark dërgon, jo më vonë se 24 orë në Drejtorinë e Përgjithshme të Gjendjes Civile formularët model 1, që u përkasin njësive të qeverisjes vendore të qarqeve të tjera. Ky proces kryhet jo më vonë se 3 ditë, nga mbarimi i afateve të përcaktuara në shkronjat “a” dhe “b”, të pikës 3, të këtij vendimi.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ç) Zyra e gjendjes civile e vendbanimit, me marrjen e kërkesës, plotëson formularin model 2 dhe fletëfamiljen. Ky proces duhet të kryhet jo më vonë se 7 ditë nga mbarimi i afateve të përcaktuara në shkronjën “b”, të pikës 3, të këtij vendimi.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 xml:space="preserve">d) Zyrat e gjendjes civile, me mbarimin e procesit, dorëzojnë, sipas procedurave të parashikuara në shkronjën “c”, të pikës 3, në degët e gjendjes civile në rreth, formularët model 2, së bashku me fletëfamiljet e shtetasit/ve. Degët e gjendjes civile në rreth bëjnë shpërndarjen e këtij dokumentacioni. Ky proces kryhet </w:t>
      </w:r>
      <w:r w:rsidRPr="005677B8">
        <w:rPr>
          <w:sz w:val="21"/>
          <w:szCs w:val="21"/>
        </w:rPr>
        <w:lastRenderedPageBreak/>
        <w:t>jo më vonë se 3 ditë nga mbarimi i afateve të përcaktuara në shkronjën “ç”, të pikës 3, të këtij vendimi.</w:t>
      </w:r>
    </w:p>
    <w:p w:rsidR="002D48BA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dh) Zyra e gjendjes civile, ku shtetasi ka regjistrin e përkohshëm, pasi merr fletëfamiljen e shtetasit/ve, bën regjistrimin e tyre në regjistrin themeltar dhe njofton zyrtarisht zyrën e gjendjes civile të vendbanimit të mëparshëm, sipas formularit model 3, për çregjistrimin e shtetasit nga regjistri i mëparshëm themeltar. Ky proces të përfundojë jo më vonë se 7 ditë nga mbarimi i afateve të përcaktuara në shkronjën “c”, të pikës 3, të këtij vendimi.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e) Zyrat e gjendjes civile, me plotësimin e formularit model 3, i dorëzojnë ato, sipas procedurave të parashikuara në shkronjën “c”, të pikës 3, në degët e gjendjes civile në rreth. Degët e gjendjes civile në rreth bëjnë shpërndarjen e këtij dokumentacioni. Ky proces të kryhet jo më vonë se 3 ditë nga mbarimi i afateve të përcaktuara në shkronjën “dh”, të pikës 3.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ë) Zyra e gjendjes civile e vendbanimit të mëparshëm, me marrjen e formularit model 3, bën çregjistrimin e shtetasve, duke shënuar në regjistër adresën e re të shtetasit dhe për këtë njofton zyrtarisht, sipas formularit model 4, prefektin e qarkut dhe degën e mobilizimit ushtarak. Ky proces kryhet jo më vonë se 4 ditë nga mbarimi i afateve të përcaktuara në shkronjën “e”, të pikës 3.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4. Prefektët janë përgjegjës për kontrollin dhe shpërndarjen e dokumentacionit ndërmjet njësive të qeverisjes vendore. Brenda të njëjtit rreth komunikimi kryhet nga degët e gjendjes civile në rreth. Komunikimi, në nivel qarku, të kryhet nga zyra e gjendjes civile në qark. Në qarqe të ndryshme prefektët shkëmbejnë dokumentacionet, sipas shkronjave “c”, “dh” dhe “ë” , të pikës 3, në ditë të caktuara nga Drejtoria e Përgjithshme e Gjendjes Civile. Çdo zyrë e gjendjes civile mban një kopje zyrtare të të gjithë dokumentacionit të dërguar dhe të marrë. Gjithashtu, një kopje e të gjithë dokumentacionit të shkëmbyer depozitohet pranë prefektit.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5. Për të ndihmuar dhe monitoruar procesin në zyrat e gjendjes civile të bashkive, të njësive bashkiake të Tiranës apo të komunave, me mbi 1000 shtetas në regjistrin e përkohshëm, prefekti cakton një person, me arsim të lartë, i cili duhet të vrojtojë gjatë të gjithë periudhës së zhvillimit të këtij procesi.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6. Nëse kryetarët e njësive të qeverisjes vendore nuk kanë caktuar grupet e verifikimit, sipas afatit të përcaktuar në shkronjën “a”, të pikës 3, atëherë prefektët, brenda 24 orëve, i emërojnë këto grupe. Në rast se ndonjëra nga partitë politike nuk ka bërë propozimet për grupet e verifikimit, atëherë prefekti emëron, me iniciativë, grupet e verifikimit.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7. Ministrisë së Brendshme, për mbulimin e shpenzimeve të këtij procesi, i jepet fondi prej 65 000 000 (gjashtëdhjetë e pesë milionë) lekësh, i cili do të përballohet nga fondi rezervë i Këshillit të Ministrave, për vitin 2006. Ky fond do të përdoret, sipas tabelës që i bashkëlidhet këtij vendimi, si më poshtë vijon: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a) Për pagesën e grupeve të punës, të cilët do të kontaktojnë dhe plotësojnë deklarimet e shtetasve;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b) Për pagesën e personave, të cilët do të plotësojnë formularët model 1, 2, 3 e 4 dhe do të regjistrojnë shtetasit në regjistrin themeltar;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c) Për mbulimin e shpenzimeve operative të zyrave të gjendjes civile në bashki/komunë, rreth dhe qark, si edhe të zyrës së prefektit;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ç) Për mbulimin e shpenzimeve për vrojtuesit e procesit, të përcaktuar në pikën 7;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d) Për mbulimin e shpenzimeve për lëvizjen dhe shkëmbimin e dokumentacionit;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dh) Për mbulimin e shpenzimeve operative për Drejtorinë e Përgjithshme të Gjendjes Civile dhe Ministrinë e Brendshme.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8. Transferimi i të dhënave të gjendjes civile të shtetasve, të regjistruar në regjistrin e përkohshëm, sipas këtij vendimi, bëhet pa pagesë.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9. Ky vendim i shtrin efektet, për transferimin e të dhënave të gjendjes civile të shtetasve të regjistruar në regjistrin e përkohshëm, në çdo rast, brenda datës 20 tetor 2006.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10. Ngarkohen Ministria e Brendshme, Ministria e Financave, prefektët, kryetarët e bashkive, komunave dhe kryetarët e 11 njësive bashkiake të Tiranës, si edhe zyrat e gjendjes civile në qark, rreth, bashki, komuna dhe njësitë bashkiake të Tiranës për zbatimin e këtij vendimi.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  <w:r w:rsidRPr="005677B8">
        <w:rPr>
          <w:sz w:val="21"/>
          <w:szCs w:val="21"/>
        </w:rPr>
        <w:t>Ky vendim hyn në fuqi pas botimit në Fletoren Zyrtare.</w:t>
      </w:r>
    </w:p>
    <w:p w:rsidR="002D48BA" w:rsidRPr="005677B8" w:rsidRDefault="002D48BA" w:rsidP="002D48BA">
      <w:pPr>
        <w:pStyle w:val="Paragrafi"/>
        <w:rPr>
          <w:sz w:val="21"/>
          <w:szCs w:val="21"/>
        </w:rPr>
      </w:pPr>
    </w:p>
    <w:p w:rsidR="002D48BA" w:rsidRPr="005677B8" w:rsidRDefault="002D48BA" w:rsidP="002D48BA">
      <w:pPr>
        <w:pStyle w:val="Autoriteti"/>
        <w:rPr>
          <w:sz w:val="21"/>
          <w:szCs w:val="21"/>
        </w:rPr>
      </w:pPr>
      <w:r w:rsidRPr="005677B8">
        <w:rPr>
          <w:sz w:val="21"/>
          <w:szCs w:val="21"/>
        </w:rPr>
        <w:t>Kryeministri</w:t>
      </w:r>
    </w:p>
    <w:p w:rsidR="002D48BA" w:rsidRPr="005677B8" w:rsidRDefault="002D48BA" w:rsidP="002D48BA">
      <w:pPr>
        <w:pStyle w:val="AutoritetiEmer"/>
        <w:rPr>
          <w:sz w:val="21"/>
          <w:szCs w:val="21"/>
        </w:rPr>
      </w:pPr>
      <w:r w:rsidRPr="005677B8">
        <w:rPr>
          <w:sz w:val="21"/>
          <w:szCs w:val="21"/>
        </w:rPr>
        <w:t>Sali Berisha</w:t>
      </w:r>
    </w:p>
    <w:p w:rsidR="002D48BA" w:rsidRPr="007B0C3F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Figure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CD4995" w:rsidP="002D48BA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600700" cy="8001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A" w:rsidRDefault="002D48BA" w:rsidP="002D48BA">
      <w:pPr>
        <w:pStyle w:val="Paragrafi"/>
      </w:pPr>
    </w:p>
    <w:p w:rsidR="002D48BA" w:rsidRPr="00EF478E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CD4995" w:rsidP="002D48BA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600700" cy="777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CD4995" w:rsidP="002D48BA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486400" cy="7543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CD4995" w:rsidP="002D48BA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5486400" cy="845820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A" w:rsidRDefault="002D48BA" w:rsidP="002D48BA">
      <w:pPr>
        <w:pStyle w:val="Paragrafi"/>
      </w:pPr>
    </w:p>
    <w:p w:rsidR="002D48BA" w:rsidRDefault="002D48BA" w:rsidP="002D48BA">
      <w:pPr>
        <w:pStyle w:val="Paragrafi"/>
      </w:pPr>
    </w:p>
    <w:p w:rsidR="002D48BA" w:rsidRDefault="00CD4995" w:rsidP="002D48BA">
      <w:pPr>
        <w:pStyle w:val="Paragrafi"/>
      </w:pPr>
      <w:r w:rsidRPr="00CE0EA9">
        <w:rPr>
          <w:noProof/>
          <w:lang w:val="en-GB" w:eastAsia="en-GB"/>
        </w:rPr>
        <w:drawing>
          <wp:inline distT="0" distB="0" distL="0" distR="0">
            <wp:extent cx="5753100" cy="8296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BA" w:rsidRPr="007B0C3F" w:rsidRDefault="002D48BA" w:rsidP="002D48BA">
      <w:pPr>
        <w:rPr>
          <w:lang w:val="en-US" w:eastAsia="en-US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2D48BA">
      <w:footerReference w:type="even" r:id="rId11"/>
      <w:footerReference w:type="default" r:id="rId12"/>
      <w:pgSz w:w="11907" w:h="16840" w:code="9"/>
      <w:pgMar w:top="1418" w:right="1418" w:bottom="1418" w:left="1418" w:header="1304" w:footer="1134" w:gutter="0"/>
      <w:pgNumType w:start="398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D4995">
      <w:r>
        <w:separator/>
      </w:r>
    </w:p>
  </w:endnote>
  <w:endnote w:type="continuationSeparator" w:id="0">
    <w:p w:rsidR="00000000" w:rsidRDefault="00CD4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8BA" w:rsidRDefault="002D48BA" w:rsidP="002D48B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D48BA" w:rsidRDefault="002D48BA" w:rsidP="002D48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48BA" w:rsidRPr="00D367B8" w:rsidRDefault="002D48BA" w:rsidP="002D48BA">
    <w:pPr>
      <w:pStyle w:val="Footer"/>
      <w:framePr w:wrap="around" w:vAnchor="text" w:hAnchor="margin" w:xAlign="outside" w:y="1"/>
      <w:rPr>
        <w:rStyle w:val="PageNumber"/>
      </w:rPr>
    </w:pPr>
    <w:r w:rsidRPr="00D367B8">
      <w:rPr>
        <w:rStyle w:val="PageNumber"/>
      </w:rPr>
      <w:fldChar w:fldCharType="begin"/>
    </w:r>
    <w:r w:rsidRPr="00D367B8">
      <w:rPr>
        <w:rStyle w:val="PageNumber"/>
      </w:rPr>
      <w:instrText xml:space="preserve">PAGE  </w:instrText>
    </w:r>
    <w:r w:rsidRPr="00D367B8">
      <w:rPr>
        <w:rStyle w:val="PageNumber"/>
      </w:rPr>
      <w:fldChar w:fldCharType="separate"/>
    </w:r>
    <w:r w:rsidR="00CD4995">
      <w:rPr>
        <w:rStyle w:val="PageNumber"/>
        <w:noProof/>
      </w:rPr>
      <w:t>3987</w:t>
    </w:r>
    <w:r w:rsidRPr="00D367B8">
      <w:rPr>
        <w:rStyle w:val="PageNumber"/>
      </w:rPr>
      <w:fldChar w:fldCharType="end"/>
    </w:r>
  </w:p>
  <w:p w:rsidR="002D48BA" w:rsidRDefault="002D48BA" w:rsidP="002D48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D4995">
      <w:r>
        <w:separator/>
      </w:r>
    </w:p>
  </w:footnote>
  <w:footnote w:type="continuationSeparator" w:id="0">
    <w:p w:rsidR="00000000" w:rsidRDefault="00CD49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2D48BA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5F71EC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D4995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44FB7D5-7211-4985-BAF7-2F4756E33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8BA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2D48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D48BA"/>
  </w:style>
  <w:style w:type="character" w:customStyle="1" w:styleId="VENDOSIChar">
    <w:name w:val="VENDOSI Char"/>
    <w:basedOn w:val="DefaultParagraphFont"/>
    <w:link w:val="VENDOSI"/>
    <w:rsid w:val="002D48BA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2019-03-16T13:57:00Z</dcterms:created>
  <dcterms:modified xsi:type="dcterms:W3CDTF">2019-03-16T13:57:00Z</dcterms:modified>
</cp:coreProperties>
</file>