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5AB" w:rsidRPr="0024232A" w:rsidRDefault="004025AB" w:rsidP="004025AB">
      <w:pPr>
        <w:pStyle w:val="Titulli"/>
        <w:keepNext w:val="0"/>
        <w:rPr>
          <w:lang w:val="it-IT"/>
        </w:rPr>
      </w:pPr>
      <w:bookmarkStart w:id="0" w:name="_GoBack"/>
      <w:bookmarkEnd w:id="0"/>
      <w:r w:rsidRPr="0024232A">
        <w:rPr>
          <w:lang w:val="it-IT"/>
        </w:rPr>
        <w:t>MEMORANDUM BASHKËPUNIMI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rStyle w:val="TitulliChar"/>
          <w:lang w:val="it-IT"/>
        </w:rPr>
        <w:t>Për zgjedhjet e ardhshme për Organet e Qeverisjes Vendore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>
        <w:rPr>
          <w:i/>
          <w:szCs w:val="22"/>
          <w:lang w:val="it-IT"/>
        </w:rPr>
        <w:t>Meqe</w:t>
      </w:r>
      <w:r w:rsidRPr="0024232A">
        <w:rPr>
          <w:i/>
          <w:szCs w:val="22"/>
          <w:lang w:val="it-IT"/>
        </w:rPr>
        <w:t>nëse</w:t>
      </w:r>
      <w:r w:rsidRPr="0024232A">
        <w:rPr>
          <w:szCs w:val="22"/>
          <w:lang w:val="it-IT"/>
        </w:rPr>
        <w:t xml:space="preserve"> së afërmi do të zhvillohen zgjedhjet për organet e qeverisjes vendore të Republikës së Shqipërisë;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i/>
          <w:szCs w:val="22"/>
          <w:lang w:val="it-IT"/>
        </w:rPr>
        <w:t>Meqenëse</w:t>
      </w:r>
      <w:r w:rsidRPr="0024232A">
        <w:rPr>
          <w:szCs w:val="22"/>
          <w:lang w:val="it-IT"/>
        </w:rPr>
        <w:t xml:space="preserve"> Kushtetuta e Republikës së Shqipërisë dhe Kodi Zgjedhor ngarkon Komisionin Qendror të Zgjedhjeve me detyrën për të përgatitur, mbikëqyrur, drejtuar dhe verifikuar të gjitha aspektet që kanë të bëjnë me zgjedhjet;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i/>
          <w:szCs w:val="22"/>
          <w:lang w:val="it-IT"/>
        </w:rPr>
        <w:t>Meqenëse</w:t>
      </w:r>
      <w:r w:rsidRPr="0024232A">
        <w:rPr>
          <w:szCs w:val="22"/>
          <w:lang w:val="it-IT"/>
        </w:rPr>
        <w:t xml:space="preserve"> Këshilli i Ministrave të Republikës së Shqipërisë në zbatim të Kushtetutës, legjislacionit shqiptar, si dhe të marrëveshjeve ndërkombëtare, ku shteti shqiptar është palë, është seriozisht i angazhuar për mbajtjen e zgjedhjeve të lira, të ndershme dhe në përputhje me standardet ndërkombëtare;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>
        <w:rPr>
          <w:i/>
          <w:szCs w:val="22"/>
          <w:lang w:val="it-IT"/>
        </w:rPr>
        <w:t>Meqe</w:t>
      </w:r>
      <w:r w:rsidRPr="0024232A">
        <w:rPr>
          <w:i/>
          <w:szCs w:val="22"/>
          <w:lang w:val="it-IT"/>
        </w:rPr>
        <w:t>nëse</w:t>
      </w:r>
      <w:r w:rsidRPr="0024232A">
        <w:rPr>
          <w:szCs w:val="22"/>
          <w:lang w:val="it-IT"/>
        </w:rPr>
        <w:t xml:space="preserve"> për realizimin e këtyre standardeve kërkohet bashkëpunim serioz dhe i vazhdueshëm midis Komisionit Qendror të Zgjedhjeve dhe strukturave shtetërore në varësi të Këshillit të Ministrave të Republikës së Shqipërisë;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i/>
          <w:szCs w:val="22"/>
          <w:lang w:val="it-IT"/>
        </w:rPr>
        <w:t>Duke marrë parasysh</w:t>
      </w:r>
      <w:r w:rsidRPr="0024232A">
        <w:rPr>
          <w:szCs w:val="22"/>
          <w:lang w:val="it-IT"/>
        </w:rPr>
        <w:t xml:space="preserve"> rëndësinë e madhe që kanë këto zgjedhje për të ardhmen e vendit dhe në kuadër të marrëveshjes së Stabilizim-Asociimit me Bashkimin Europian;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si dhe për të realizuar në shkallë institucionale këtë bashkëpunim;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Këshilli i Ministrave i Republikës së Shqipërisë (më poshtë referuar si Këshilli i Ministrave) dhe Komisioni Qendror i Zgjedhjeve (më poshtë referuar si KQZ-ja) nënshkruajnë këtë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</w:p>
    <w:p w:rsidR="004025AB" w:rsidRPr="0024232A" w:rsidRDefault="004025AB" w:rsidP="004025AB">
      <w:pPr>
        <w:pStyle w:val="TitulliTitull"/>
        <w:keepNext w:val="0"/>
        <w:rPr>
          <w:lang w:val="it-IT"/>
        </w:rPr>
      </w:pPr>
      <w:r w:rsidRPr="0024232A">
        <w:rPr>
          <w:lang w:val="it-IT"/>
        </w:rPr>
        <w:t>Memorandum Bashkëpunimi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Palët në këtë Memorandum veprojnë në përputhje me statusin e tyre institucional, të përcaktuar në Kushtetutën e Republikës së Shqipërisë, Kodin Zgjedhor dhe legjislacionin në fuqi.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Këshilli i Ministrave merr përsipër dhe i garanton KQZ-së që:</w:t>
      </w:r>
    </w:p>
    <w:p w:rsidR="004025AB" w:rsidRPr="0024232A" w:rsidRDefault="004025AB" w:rsidP="004025AB">
      <w:pPr>
        <w:pStyle w:val="Paragrafi"/>
        <w:tabs>
          <w:tab w:val="left" w:pos="921"/>
          <w:tab w:val="left" w:pos="1122"/>
        </w:tabs>
        <w:rPr>
          <w:szCs w:val="22"/>
          <w:lang w:val="it-IT"/>
        </w:rPr>
      </w:pPr>
      <w:r w:rsidRPr="0024232A">
        <w:rPr>
          <w:szCs w:val="22"/>
          <w:lang w:val="it-IT"/>
        </w:rPr>
        <w:t>Nëpërmjet Ministrit të Financave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Financimin e procesit zgjedhor sipas kërkesave të  KQZ-së, si dhe mbështetje të menjëhershme me akte nënligjore për realizimin e procedurave të shpenzimeve buxhetore.          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Ministrit të Drejtësisë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Krijimin e lehtësirave në lëshimin e vërtetimit të gjendjes gjyqësore të kërkuar nga subjektet politike apo individë në funksion të plotësimit të dokumentacionit ligjor për efekte zgjedhore. 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Gatishmërinë e gjykatave të shkallës së parë në gjykimin e shpejtë të ankesave të zgjedhësve në lidhje me përfshirjen e tyre në listën e zgjedhësve.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Ministrisë së Brendshme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sigurimin e ambienteve për zyrat e KZQV-ve, ambientet për VNV dhe KQV-të.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sigurimin e ambienteve për zyrat rajonale zgjedhore të KQZ-së.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Sigurimin e ambienteve të nevojshme për zhvillimin e programeve të trajnimit që KQZ-ja do të organizojë për komisionerët e KZQV-ve dhe KQV-ve duke shfrytëzuar ambiente që janë në administrim të prefektëve ose njësive përkatëse të qeverisjes vendore sipas kalendarit të përcaktuar nga Komisioni Qendror i Zgjedhjeve.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shpërndarjen e bazës materiale zgjedhore dhe fletëve të votimit për çdo KZQV.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Ministrit të Mbrojtjes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transportin e bazës materiale zgjedhore dhe fletëve të votimit në bashkitë dhe komunat e vendit sipas grafikut të përcaktuar nga KQZ-ja.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Vënien në dispozicion të KQZ-së për nevoja emergjente gjatë ditës së zgjedhjeve të një ose dy helikopterëve.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Mbështetjen e KQZ me mjete të ndryshme transporti, mbi bazën e kërkesës së saj. 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Ministrisë së Arsimit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Sigurimin e ambienteve të ndryshme, kryesisht klasash mësimore dhe palestra shkollash për zhvillimin e seancave trajnuesve me komisionerët zgjedhorë, si dhe zhvillimin e procesit të numërimit të votave.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 “ALBTELEKOM” sh.a.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lastRenderedPageBreak/>
        <w:t>- Asistencë me lidhjen me linjë telefoni dhe faksi të zyrave të KZQV-ve dhe VNV-ve në të gjithë vendin, duke mundësuar komunikimin e vazhdueshëm me KZQV-të, si dhe transmetimin e rezultateve paraprake.</w:t>
      </w:r>
    </w:p>
    <w:p w:rsidR="004025AB" w:rsidRPr="0024232A" w:rsidRDefault="006A12B4" w:rsidP="004025AB">
      <w:pPr>
        <w:pStyle w:val="Paragrafi"/>
        <w:rPr>
          <w:szCs w:val="22"/>
          <w:lang w:val="it-IT"/>
        </w:rPr>
      </w:pPr>
      <w:r w:rsidRPr="0024232A"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127000</wp:posOffset>
                </wp:positionV>
                <wp:extent cx="571500" cy="228600"/>
                <wp:effectExtent l="0" t="4445" r="444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025AB" w:rsidRDefault="004025AB" w:rsidP="004025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5pt;margin-top:10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" filled="f" stroked="f">
                <v:textbox>
                  <w:txbxContent>
                    <w:p w:rsidR="004025AB" w:rsidRDefault="004025AB" w:rsidP="004025AB"/>
                  </w:txbxContent>
                </v:textbox>
              </v:shape>
            </w:pict>
          </mc:Fallback>
        </mc:AlternateContent>
      </w:r>
      <w:r w:rsidR="004025AB" w:rsidRPr="0024232A">
        <w:rPr>
          <w:szCs w:val="22"/>
          <w:lang w:val="it-IT"/>
        </w:rPr>
        <w:t>KQZ merr përsipër dhe i garanton Këshillit të Ministrave që: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Në afatin e duhur do të nxjerrë aktet nënligjore të detyrueshme për zbatim nga organet jashtë zgjedhore.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Do të identifikojë në nivel lokal ambientet e zyrave te KZQV-ve, VNV-ve, si dhe ambientet që mund të shërbejnë për zhvillimin e seancave trajnuese. 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Do t’iu sigurojë në kohë institucioneve të mësipërme informacionin e duhur për realizimin e bashkëpunimit institucional, në funksion të administrimit të procesit zgjedhor.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Për respektimin e të drejtave dhe detyrimeve që burojnë nga ky Memorandum, palët veprojnë në bazë të kompetencave që u njeh ligji. Në këtë kuadër, palët njohin rolin drejtues të Komisionit Qendror të Zgjedhjeve në procesin e përgatitjes së zgjedhjeve, si edhe angazhimin e posaçëm të strukturave të mësipërme, në emër të Këshillit të Ministrave të Republikës së Shqipërisë. </w:t>
      </w:r>
    </w:p>
    <w:p w:rsidR="004025AB" w:rsidRPr="0024232A" w:rsidRDefault="004025AB" w:rsidP="004025AB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Ky Memorandum Bashkëpunimi, hyn në fuqi në momentin e nënshkrimit nga palët dhe botohet në Fletoren Zyrtare.</w:t>
      </w:r>
    </w:p>
    <w:p w:rsidR="004025AB" w:rsidRPr="0024232A" w:rsidRDefault="004025AB" w:rsidP="004025AB">
      <w:pPr>
        <w:pStyle w:val="Paragrafi"/>
        <w:rPr>
          <w:szCs w:val="22"/>
        </w:rPr>
      </w:pPr>
      <w:r w:rsidRPr="0024232A">
        <w:rPr>
          <w:szCs w:val="22"/>
        </w:rPr>
        <w:t>Tiranë, më 19.10.2006</w:t>
      </w:r>
    </w:p>
    <w:p w:rsidR="004025AB" w:rsidRPr="0024232A" w:rsidRDefault="004025AB" w:rsidP="004025AB">
      <w:pPr>
        <w:pStyle w:val="Paragrafi"/>
        <w:ind w:firstLine="0"/>
        <w:rPr>
          <w:szCs w:val="22"/>
        </w:rPr>
      </w:pPr>
      <w:r w:rsidRPr="0024232A">
        <w:rPr>
          <w:szCs w:val="22"/>
        </w:rPr>
        <w:tab/>
      </w:r>
      <w:r w:rsidRPr="0024232A">
        <w:rPr>
          <w:szCs w:val="22"/>
        </w:rPr>
        <w:tab/>
      </w:r>
      <w:r w:rsidRPr="0024232A">
        <w:rPr>
          <w:szCs w:val="22"/>
        </w:rPr>
        <w:tab/>
      </w:r>
      <w:r w:rsidRPr="0024232A">
        <w:rPr>
          <w:szCs w:val="22"/>
        </w:rPr>
        <w:tab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4025AB" w:rsidRPr="0024232A">
        <w:trPr>
          <w:jc w:val="center"/>
        </w:trPr>
        <w:tc>
          <w:tcPr>
            <w:tcW w:w="4643" w:type="dxa"/>
          </w:tcPr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24232A">
              <w:rPr>
                <w:szCs w:val="22"/>
                <w:lang w:val="it-IT"/>
              </w:rPr>
              <w:t>Për Këshillin e Ministrave</w:t>
            </w: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24232A">
              <w:rPr>
                <w:szCs w:val="22"/>
                <w:lang w:val="it-IT"/>
              </w:rPr>
              <w:t>I ngarkuar</w:t>
            </w: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</w:rPr>
            </w:pPr>
            <w:r w:rsidRPr="0024232A">
              <w:rPr>
                <w:szCs w:val="22"/>
              </w:rPr>
              <w:t>Ilir Rusmali</w:t>
            </w: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</w:rPr>
            </w:pPr>
            <w:r w:rsidRPr="0024232A">
              <w:rPr>
                <w:szCs w:val="22"/>
              </w:rPr>
              <w:t>Zëvendëskryeministër</w:t>
            </w: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4644" w:type="dxa"/>
          </w:tcPr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</w:rPr>
            </w:pPr>
            <w:r w:rsidRPr="0024232A">
              <w:rPr>
                <w:szCs w:val="22"/>
              </w:rPr>
              <w:t>Për Komisionin Qendror të Zgjedhjeve</w:t>
            </w: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</w:rPr>
            </w:pP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rFonts w:ascii="Times New Roman" w:hAnsi="Times New Roman"/>
                <w:szCs w:val="22"/>
                <w:lang w:eastAsia="ja-JP"/>
              </w:rPr>
            </w:pPr>
            <w:r w:rsidRPr="0024232A">
              <w:rPr>
                <w:rFonts w:ascii="Times New Roman" w:hAnsi="Times New Roman"/>
                <w:szCs w:val="22"/>
                <w:lang w:eastAsia="ja-JP"/>
              </w:rPr>
              <w:t>Çlirim Gjata</w:t>
            </w: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szCs w:val="22"/>
              </w:rPr>
            </w:pPr>
            <w:r w:rsidRPr="0024232A">
              <w:rPr>
                <w:szCs w:val="22"/>
              </w:rPr>
              <w:t>Kryetar i KQZ-së</w:t>
            </w:r>
          </w:p>
          <w:p w:rsidR="004025AB" w:rsidRPr="0024232A" w:rsidRDefault="004025AB" w:rsidP="004025AB">
            <w:pPr>
              <w:pStyle w:val="Paragrafi"/>
              <w:ind w:firstLine="0"/>
              <w:jc w:val="center"/>
              <w:rPr>
                <w:rFonts w:ascii="Times New Roman" w:hAnsi="Times New Roman"/>
                <w:szCs w:val="22"/>
                <w:lang w:eastAsia="ja-JP"/>
              </w:rPr>
            </w:pPr>
          </w:p>
        </w:tc>
      </w:tr>
    </w:tbl>
    <w:p w:rsidR="004025AB" w:rsidRPr="0003399E" w:rsidRDefault="004025AB" w:rsidP="004025AB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1B28"/>
    <w:rsid w:val="003941D1"/>
    <w:rsid w:val="003E06F6"/>
    <w:rsid w:val="003F043A"/>
    <w:rsid w:val="004025AB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12B4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4E4FCD-3FA0-4DDF-BB8A-D88C9438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5A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025AB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02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