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192" w:rsidRPr="00207C94" w:rsidRDefault="00CF6192" w:rsidP="00CF6192">
      <w:pPr>
        <w:pStyle w:val="Akti"/>
        <w:rPr>
          <w:sz w:val="21"/>
          <w:szCs w:val="21"/>
          <w:lang w:val="de-DE"/>
        </w:rPr>
      </w:pPr>
      <w:bookmarkStart w:id="0" w:name="_GoBack"/>
      <w:bookmarkEnd w:id="0"/>
      <w:r w:rsidRPr="00207C94">
        <w:rPr>
          <w:sz w:val="21"/>
          <w:szCs w:val="21"/>
          <w:lang w:val="de-DE"/>
        </w:rPr>
        <w:t>Vendim</w:t>
      </w:r>
    </w:p>
    <w:p w:rsidR="00CF6192" w:rsidRPr="00207C94" w:rsidRDefault="00CF6192" w:rsidP="00CF6192">
      <w:pPr>
        <w:pStyle w:val="NumriData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Nr.15, datë 10.1.2007</w:t>
      </w: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</w:p>
    <w:p w:rsidR="00CF6192" w:rsidRPr="00207C94" w:rsidRDefault="00CF6192" w:rsidP="00CF6192">
      <w:pPr>
        <w:pStyle w:val="Titull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PËR DISA NDRYSHIME DHE SHTESA NË VENDIMIN NR.646, DATË 12.12.2002 TË KËSHILLIT TË MINISTRAVE “Për MIRATIMIN E STANDARDEVE DHE TË KUSHTEVE TEKNIKE, TË PROJEKTIMIT DHE TË ZBATIMIT, NË FUSHAT E INDUSTRISË DHE TË ENERGJETIKËS, TË CILAT DUHET TË MARRIN STATUSIN “Rregulla TEKNIKE”, TË DETYRUESHME PËR ZBATIM”, TË NDRYSHUAR</w:t>
      </w: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</w:p>
    <w:p w:rsidR="00CF6192" w:rsidRPr="00207C94" w:rsidRDefault="00CF6192" w:rsidP="00CF6192">
      <w:pPr>
        <w:pStyle w:val="BazLigjPropozues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Në mbështetje të nenit 100 të Kushtetutës dhe të nenit 17 të ligjit nr.8464, datë 11.3.1999 “Për standardizimin”, të ndryshuar, me propozimin e Ministrit të Ekonomisë, Tregtisë dhe Energjetikës, Këshilli i Ministrave</w:t>
      </w: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</w:p>
    <w:p w:rsidR="00CF6192" w:rsidRPr="00207C94" w:rsidRDefault="00CF6192" w:rsidP="00CF6192">
      <w:pPr>
        <w:pStyle w:val="VENDOS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VENDOSI:</w:t>
      </w: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Në lidhjen nr.1, që i bashkëlidhet vendimit nr.646, datë 12.12.2002 të Këshillit të Ministrave, të ndryshuar, të bëhen ndryshimet dhe shtesat, sipas lidhjes, që i bashkëlidhet këtij vendimi.</w:t>
      </w: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Ky vendim hyn në fuqi pas botimit në  Fletoren Zyrtare.</w:t>
      </w: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</w:p>
    <w:p w:rsidR="00CF6192" w:rsidRPr="007E6D83" w:rsidRDefault="00CF6192" w:rsidP="00CF6192">
      <w:pPr>
        <w:pStyle w:val="Autoriteti"/>
        <w:rPr>
          <w:sz w:val="21"/>
          <w:szCs w:val="21"/>
        </w:rPr>
      </w:pPr>
      <w:r w:rsidRPr="007E6D83">
        <w:rPr>
          <w:sz w:val="21"/>
          <w:szCs w:val="21"/>
        </w:rPr>
        <w:t>Kryeministri</w:t>
      </w:r>
    </w:p>
    <w:p w:rsidR="00CF6192" w:rsidRPr="007E6D83" w:rsidRDefault="00CF6192" w:rsidP="00CF6192">
      <w:pPr>
        <w:pStyle w:val="AutoritetiEmer"/>
        <w:rPr>
          <w:sz w:val="21"/>
          <w:szCs w:val="21"/>
        </w:rPr>
      </w:pPr>
      <w:r w:rsidRPr="007E6D83">
        <w:rPr>
          <w:sz w:val="21"/>
          <w:szCs w:val="21"/>
        </w:rPr>
        <w:t>Sali Berisha</w:t>
      </w:r>
    </w:p>
    <w:p w:rsidR="00CF6192" w:rsidRPr="007E6D83" w:rsidRDefault="00CF6192" w:rsidP="00CF6192">
      <w:pPr>
        <w:pStyle w:val="Paragrafi"/>
        <w:ind w:firstLine="0"/>
        <w:rPr>
          <w:sz w:val="21"/>
          <w:szCs w:val="21"/>
        </w:rPr>
      </w:pPr>
    </w:p>
    <w:p w:rsidR="00CF6192" w:rsidRPr="007E6D83" w:rsidRDefault="00CF6192" w:rsidP="00CF6192">
      <w:pPr>
        <w:pStyle w:val="Paragrafi"/>
        <w:ind w:firstLine="0"/>
        <w:jc w:val="right"/>
        <w:rPr>
          <w:sz w:val="21"/>
          <w:szCs w:val="21"/>
        </w:rPr>
      </w:pPr>
      <w:r w:rsidRPr="007E6D83">
        <w:rPr>
          <w:sz w:val="21"/>
          <w:szCs w:val="21"/>
        </w:rPr>
        <w:t xml:space="preserve">Lidhja </w:t>
      </w:r>
    </w:p>
    <w:p w:rsidR="00CF6192" w:rsidRPr="007E6D83" w:rsidRDefault="00CF6192" w:rsidP="00CF6192">
      <w:pPr>
        <w:pStyle w:val="TitulliTitull"/>
        <w:rPr>
          <w:sz w:val="21"/>
          <w:szCs w:val="21"/>
        </w:rPr>
      </w:pPr>
    </w:p>
    <w:p w:rsidR="00CF6192" w:rsidRPr="007E6D83" w:rsidRDefault="00CF6192" w:rsidP="00CF6192">
      <w:pPr>
        <w:pStyle w:val="TitulliTitull"/>
        <w:rPr>
          <w:sz w:val="21"/>
          <w:szCs w:val="21"/>
        </w:rPr>
      </w:pPr>
      <w:r w:rsidRPr="007E6D83">
        <w:rPr>
          <w:sz w:val="21"/>
          <w:szCs w:val="21"/>
        </w:rPr>
        <w:t xml:space="preserve">VAZHDIM I LIDHJES NR.1 TË VENDIMIT TË KËSHILLIT TË MINISTRAVE NR.646, </w:t>
      </w:r>
    </w:p>
    <w:p w:rsidR="00CF6192" w:rsidRPr="007E6D83" w:rsidRDefault="00CF6192" w:rsidP="00CF6192">
      <w:pPr>
        <w:pStyle w:val="TitulliTitull"/>
        <w:rPr>
          <w:sz w:val="21"/>
          <w:szCs w:val="21"/>
        </w:rPr>
      </w:pPr>
      <w:r w:rsidRPr="007E6D83">
        <w:rPr>
          <w:sz w:val="21"/>
          <w:szCs w:val="21"/>
        </w:rPr>
        <w:t>DATË 12.12.2002, i NDRYSHUAR</w:t>
      </w:r>
    </w:p>
    <w:p w:rsidR="00CF6192" w:rsidRPr="007E6D83" w:rsidRDefault="00CF6192" w:rsidP="00CF6192">
      <w:pPr>
        <w:pStyle w:val="Paragrafi"/>
        <w:ind w:firstLine="0"/>
        <w:rPr>
          <w:sz w:val="21"/>
          <w:szCs w:val="21"/>
        </w:rPr>
      </w:pPr>
    </w:p>
    <w:p w:rsidR="00CF6192" w:rsidRPr="007E6D83" w:rsidRDefault="00CF6192" w:rsidP="00CF6192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Lista e standardeve të detyrueshme aktualisht në fuqi, që miratohen në “Rregulla teknike” të detyrueshme për zbatim:</w:t>
      </w: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Kreu 1: Naftë, gaz dhe produkte nafte;</w:t>
      </w: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Pika 2 ndryshohet, si më poshtë:</w:t>
      </w:r>
    </w:p>
    <w:p w:rsidR="00CF6192" w:rsidRPr="00207C94" w:rsidRDefault="00CF6192" w:rsidP="00CF6192">
      <w:pPr>
        <w:pStyle w:val="Paragrafi"/>
        <w:rPr>
          <w:sz w:val="21"/>
          <w:szCs w:val="21"/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4320"/>
        <w:gridCol w:w="3888"/>
      </w:tblGrid>
      <w:tr w:rsidR="00CF6192" w:rsidRPr="007E6D83">
        <w:tc>
          <w:tcPr>
            <w:tcW w:w="648" w:type="dxa"/>
          </w:tcPr>
          <w:p w:rsidR="00CF6192" w:rsidRPr="007E6D83" w:rsidRDefault="00CF6192" w:rsidP="00CF619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E6D83">
              <w:rPr>
                <w:b/>
                <w:sz w:val="21"/>
                <w:szCs w:val="21"/>
              </w:rPr>
              <w:t>Nr.</w:t>
            </w:r>
          </w:p>
        </w:tc>
        <w:tc>
          <w:tcPr>
            <w:tcW w:w="4320" w:type="dxa"/>
          </w:tcPr>
          <w:p w:rsidR="00CF6192" w:rsidRPr="007E6D83" w:rsidRDefault="00CF6192" w:rsidP="00CF619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E6D83">
              <w:rPr>
                <w:b/>
                <w:sz w:val="21"/>
                <w:szCs w:val="21"/>
              </w:rPr>
              <w:t>Emërtimi</w:t>
            </w:r>
          </w:p>
        </w:tc>
        <w:tc>
          <w:tcPr>
            <w:tcW w:w="3888" w:type="dxa"/>
          </w:tcPr>
          <w:p w:rsidR="00CF6192" w:rsidRPr="007E6D83" w:rsidRDefault="00CF6192" w:rsidP="00CF619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E6D83">
              <w:rPr>
                <w:b/>
                <w:sz w:val="21"/>
                <w:szCs w:val="21"/>
              </w:rPr>
              <w:t>Kërkesat themelore të standardeve shqiptare ose standardeve të barazvlefshme me to</w:t>
            </w:r>
          </w:p>
        </w:tc>
      </w:tr>
      <w:tr w:rsidR="00CF6192" w:rsidRPr="007E6D83">
        <w:tc>
          <w:tcPr>
            <w:tcW w:w="648" w:type="dxa"/>
          </w:tcPr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2</w:t>
            </w:r>
          </w:p>
        </w:tc>
        <w:tc>
          <w:tcPr>
            <w:tcW w:w="4320" w:type="dxa"/>
          </w:tcPr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Lëndë djegëse për automjete, për përdorim shtëpiak dhe industrial – G.L.N.(Mishelë) – Kërkesat dhe metodat e provës.</w:t>
            </w:r>
          </w:p>
        </w:tc>
        <w:tc>
          <w:tcPr>
            <w:tcW w:w="3888" w:type="dxa"/>
          </w:tcPr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SSH EN 589: 2004/AC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-Niveli i avujve të presuar, min.150 kPa, në temperaturën sipas grupeve A, B,C, D.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-Përmbajtja e përgjithshme e dieneve (duke përfshirë 1.3 butadiene)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-Sulfuri i hidrogjenit (H</w:t>
            </w:r>
            <w:r w:rsidRPr="007E6D83">
              <w:rPr>
                <w:sz w:val="21"/>
                <w:szCs w:val="21"/>
                <w:vertAlign w:val="subscript"/>
              </w:rPr>
              <w:t>2</w:t>
            </w:r>
            <w:r w:rsidRPr="007E6D83">
              <w:rPr>
                <w:sz w:val="21"/>
                <w:szCs w:val="21"/>
              </w:rPr>
              <w:t>S)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-Mbetja pas avullimit</w:t>
            </w:r>
          </w:p>
        </w:tc>
      </w:tr>
    </w:tbl>
    <w:p w:rsidR="00CF6192" w:rsidRDefault="00CF6192" w:rsidP="00CF6192">
      <w:pPr>
        <w:pStyle w:val="Paragrafi"/>
        <w:rPr>
          <w:sz w:val="21"/>
          <w:szCs w:val="21"/>
        </w:rPr>
      </w:pPr>
    </w:p>
    <w:p w:rsidR="00CF6192" w:rsidRPr="007E6D83" w:rsidRDefault="00CF6192" w:rsidP="00CF6192">
      <w:pPr>
        <w:pStyle w:val="Paragrafi"/>
        <w:rPr>
          <w:sz w:val="21"/>
          <w:szCs w:val="21"/>
        </w:rPr>
      </w:pPr>
    </w:p>
    <w:p w:rsidR="00CF6192" w:rsidRPr="007E6D83" w:rsidRDefault="00CF6192" w:rsidP="00CF6192">
      <w:pPr>
        <w:pStyle w:val="Paragrafi"/>
        <w:ind w:firstLine="0"/>
        <w:rPr>
          <w:sz w:val="21"/>
          <w:szCs w:val="21"/>
        </w:rPr>
      </w:pPr>
      <w:r w:rsidRPr="007E6D83">
        <w:rPr>
          <w:sz w:val="21"/>
          <w:szCs w:val="21"/>
        </w:rPr>
        <w:t>Pas pikës 23 shtohet pika 23/1, si më poshtë:</w:t>
      </w:r>
    </w:p>
    <w:p w:rsidR="00CF6192" w:rsidRPr="007E6D83" w:rsidRDefault="00CF6192" w:rsidP="00CF6192">
      <w:pPr>
        <w:pStyle w:val="Paragrafi"/>
        <w:rPr>
          <w:sz w:val="21"/>
          <w:szCs w:val="21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4320"/>
        <w:gridCol w:w="3888"/>
      </w:tblGrid>
      <w:tr w:rsidR="00CF6192" w:rsidRPr="007E6D83">
        <w:tc>
          <w:tcPr>
            <w:tcW w:w="648" w:type="dxa"/>
          </w:tcPr>
          <w:p w:rsidR="00CF6192" w:rsidRPr="007E6D83" w:rsidRDefault="00CF6192" w:rsidP="00CF619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E6D83">
              <w:rPr>
                <w:b/>
                <w:sz w:val="21"/>
                <w:szCs w:val="21"/>
              </w:rPr>
              <w:t>Nr.</w:t>
            </w:r>
          </w:p>
        </w:tc>
        <w:tc>
          <w:tcPr>
            <w:tcW w:w="4320" w:type="dxa"/>
          </w:tcPr>
          <w:p w:rsidR="00CF6192" w:rsidRPr="007E6D83" w:rsidRDefault="00CF6192" w:rsidP="00CF619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E6D83">
              <w:rPr>
                <w:b/>
                <w:sz w:val="21"/>
                <w:szCs w:val="21"/>
              </w:rPr>
              <w:t>Emërtimi</w:t>
            </w:r>
          </w:p>
        </w:tc>
        <w:tc>
          <w:tcPr>
            <w:tcW w:w="3888" w:type="dxa"/>
          </w:tcPr>
          <w:p w:rsidR="00CF6192" w:rsidRPr="007E6D83" w:rsidRDefault="00CF6192" w:rsidP="00CF619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E6D83">
              <w:rPr>
                <w:b/>
                <w:sz w:val="21"/>
                <w:szCs w:val="21"/>
              </w:rPr>
              <w:t>Kërkesat themelore të standardeve shqiptare ose standardeve të barazvlefshme me to</w:t>
            </w:r>
          </w:p>
        </w:tc>
      </w:tr>
      <w:tr w:rsidR="00CF6192" w:rsidRPr="007E6D83">
        <w:tc>
          <w:tcPr>
            <w:tcW w:w="648" w:type="dxa"/>
          </w:tcPr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23/1</w:t>
            </w:r>
          </w:p>
        </w:tc>
        <w:tc>
          <w:tcPr>
            <w:tcW w:w="4320" w:type="dxa"/>
          </w:tcPr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Produkte nafte – Lëndë djegëse (klasa F) – gaze të lëngët nga nafta propan dhe butan – Specifikimet.</w:t>
            </w:r>
          </w:p>
        </w:tc>
        <w:tc>
          <w:tcPr>
            <w:tcW w:w="3888" w:type="dxa"/>
          </w:tcPr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SSH ISO 9162: 1989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-Për propanin: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-C</w:t>
            </w:r>
            <w:r w:rsidRPr="007E6D83">
              <w:rPr>
                <w:sz w:val="21"/>
                <w:szCs w:val="21"/>
                <w:vertAlign w:val="subscript"/>
              </w:rPr>
              <w:t>4</w:t>
            </w:r>
            <w:r w:rsidRPr="007E6D83">
              <w:rPr>
                <w:sz w:val="21"/>
                <w:szCs w:val="21"/>
              </w:rPr>
              <w:t xml:space="preserve"> ,%(molar), max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-Për butanin: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-Hydrokarburet C</w:t>
            </w:r>
            <w:r w:rsidRPr="007E6D83">
              <w:rPr>
                <w:sz w:val="21"/>
                <w:szCs w:val="21"/>
                <w:vertAlign w:val="subscript"/>
              </w:rPr>
              <w:t>5</w:t>
            </w:r>
            <w:r w:rsidRPr="007E6D83">
              <w:rPr>
                <w:sz w:val="21"/>
                <w:szCs w:val="21"/>
              </w:rPr>
              <w:t>, % (molar), max.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-Për propanin dhe butanin: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-Dienet, % (molar), max.</w:t>
            </w:r>
          </w:p>
          <w:p w:rsidR="00CF6192" w:rsidRPr="007E6D83" w:rsidRDefault="00CF6192" w:rsidP="00CF6192">
            <w:pPr>
              <w:pStyle w:val="Paragrafi"/>
              <w:ind w:firstLine="0"/>
              <w:rPr>
                <w:sz w:val="21"/>
                <w:szCs w:val="21"/>
              </w:rPr>
            </w:pPr>
            <w:r w:rsidRPr="007E6D83">
              <w:rPr>
                <w:sz w:val="21"/>
                <w:szCs w:val="21"/>
              </w:rPr>
              <w:t>-Sulfuri i hidrogjenit (H</w:t>
            </w:r>
            <w:r w:rsidRPr="007E6D83">
              <w:rPr>
                <w:sz w:val="21"/>
                <w:szCs w:val="21"/>
                <w:vertAlign w:val="subscript"/>
              </w:rPr>
              <w:t>2</w:t>
            </w:r>
            <w:r w:rsidRPr="007E6D83">
              <w:rPr>
                <w:sz w:val="21"/>
                <w:szCs w:val="21"/>
              </w:rPr>
              <w:t>S).</w:t>
            </w:r>
          </w:p>
        </w:tc>
      </w:tr>
    </w:tbl>
    <w:p w:rsidR="00CF6192" w:rsidRPr="007E6D83" w:rsidRDefault="00CF6192" w:rsidP="00CF6192">
      <w:pPr>
        <w:pStyle w:val="Paragrafi"/>
        <w:rPr>
          <w:sz w:val="21"/>
          <w:szCs w:val="21"/>
        </w:rPr>
      </w:pPr>
    </w:p>
    <w:p w:rsidR="00CF6192" w:rsidRPr="007E6D83" w:rsidRDefault="00CF6192" w:rsidP="00CF6192">
      <w:pPr>
        <w:pStyle w:val="Paragrafi"/>
        <w:ind w:firstLine="0"/>
        <w:rPr>
          <w:sz w:val="21"/>
          <w:szCs w:val="21"/>
        </w:rPr>
      </w:pPr>
    </w:p>
    <w:p w:rsidR="00A0784B" w:rsidRPr="00CF6192" w:rsidRDefault="00A0784B" w:rsidP="003941D1">
      <w:pPr>
        <w:pStyle w:val="Paragrafi"/>
      </w:pPr>
    </w:p>
    <w:sectPr w:rsidR="00A0784B" w:rsidRPr="00CF619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B110F"/>
    <w:rsid w:val="00CF421A"/>
    <w:rsid w:val="00CF6192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E4CBD2-1189-4E01-A505-57EB250D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192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CF6192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2019-03-16T14:41:00Z</dcterms:created>
  <dcterms:modified xsi:type="dcterms:W3CDTF">2019-03-16T14:41:00Z</dcterms:modified>
</cp:coreProperties>
</file>