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39F1" w:rsidRPr="00325AAF" w:rsidRDefault="005A39F1" w:rsidP="005A39F1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325AAF">
        <w:rPr>
          <w:sz w:val="21"/>
          <w:szCs w:val="21"/>
        </w:rPr>
        <w:t>Vendim</w:t>
      </w:r>
    </w:p>
    <w:p w:rsidR="005A39F1" w:rsidRPr="00325AAF" w:rsidRDefault="005A39F1" w:rsidP="005A39F1">
      <w:pPr>
        <w:pStyle w:val="NumriData"/>
        <w:keepNext w:val="0"/>
        <w:rPr>
          <w:sz w:val="21"/>
          <w:szCs w:val="21"/>
        </w:rPr>
      </w:pPr>
      <w:r w:rsidRPr="00325AAF">
        <w:rPr>
          <w:sz w:val="21"/>
          <w:szCs w:val="21"/>
        </w:rPr>
        <w:t>Nr.147, datë 21.3.2007</w:t>
      </w:r>
    </w:p>
    <w:p w:rsidR="005A39F1" w:rsidRPr="00325AAF" w:rsidRDefault="005A39F1" w:rsidP="005A39F1">
      <w:pPr>
        <w:pStyle w:val="Paragrafi"/>
        <w:rPr>
          <w:sz w:val="21"/>
          <w:szCs w:val="21"/>
        </w:rPr>
      </w:pPr>
    </w:p>
    <w:p w:rsidR="005A39F1" w:rsidRPr="00325AAF" w:rsidRDefault="005A39F1" w:rsidP="005A39F1">
      <w:pPr>
        <w:pStyle w:val="Titulli"/>
        <w:keepNext w:val="0"/>
        <w:rPr>
          <w:sz w:val="21"/>
          <w:szCs w:val="21"/>
        </w:rPr>
      </w:pPr>
      <w:r w:rsidRPr="00325AAF">
        <w:rPr>
          <w:sz w:val="21"/>
          <w:szCs w:val="21"/>
        </w:rPr>
        <w:t>Për cilësinë e lëndëve djegëse, benzinë dhe diezel</w:t>
      </w:r>
    </w:p>
    <w:p w:rsidR="005A39F1" w:rsidRPr="00325AAF" w:rsidRDefault="005A39F1" w:rsidP="005A39F1">
      <w:pPr>
        <w:pStyle w:val="Paragrafi"/>
        <w:rPr>
          <w:sz w:val="14"/>
          <w:szCs w:val="21"/>
          <w:lang w:val="en-GB"/>
        </w:rPr>
      </w:pPr>
    </w:p>
    <w:p w:rsidR="005A39F1" w:rsidRPr="00325AAF" w:rsidRDefault="005A39F1" w:rsidP="005A39F1">
      <w:pPr>
        <w:pStyle w:val="BazLigjPropozues"/>
        <w:keepNext w:val="0"/>
        <w:rPr>
          <w:sz w:val="21"/>
          <w:szCs w:val="21"/>
        </w:rPr>
      </w:pPr>
      <w:r w:rsidRPr="00325AAF">
        <w:rPr>
          <w:sz w:val="21"/>
          <w:szCs w:val="21"/>
        </w:rPr>
        <w:t>Në mbështetje të nenit 100 të Kushtetutës dhe të pikës 5 të nenit 10 të ligjit nr.8897, datë 16.5.2002 “Për mbrojtjen e ajrit nga ndotja”, me propozimin e Ministrit të Mjedisit, Pyjeve dhe Administrimit të Ujërave, Këshilli i Ministrave</w:t>
      </w:r>
    </w:p>
    <w:p w:rsidR="005A39F1" w:rsidRPr="00325AAF" w:rsidRDefault="005A39F1" w:rsidP="005A39F1">
      <w:pPr>
        <w:pStyle w:val="Paragrafi"/>
        <w:rPr>
          <w:sz w:val="21"/>
          <w:szCs w:val="21"/>
        </w:rPr>
      </w:pPr>
    </w:p>
    <w:p w:rsidR="005A39F1" w:rsidRPr="00325AAF" w:rsidRDefault="005A39F1" w:rsidP="005A39F1">
      <w:pPr>
        <w:pStyle w:val="VENDOSI"/>
        <w:keepNext w:val="0"/>
        <w:rPr>
          <w:sz w:val="21"/>
          <w:szCs w:val="21"/>
        </w:rPr>
      </w:pPr>
      <w:r w:rsidRPr="00325AAF">
        <w:rPr>
          <w:sz w:val="21"/>
          <w:szCs w:val="21"/>
        </w:rPr>
        <w:t>Vendosi:</w:t>
      </w:r>
    </w:p>
    <w:p w:rsidR="005A39F1" w:rsidRPr="00325AAF" w:rsidRDefault="005A39F1" w:rsidP="005A39F1">
      <w:pPr>
        <w:pStyle w:val="Paragrafi"/>
        <w:rPr>
          <w:sz w:val="14"/>
          <w:szCs w:val="21"/>
        </w:rPr>
      </w:pPr>
    </w:p>
    <w:p w:rsidR="005A39F1" w:rsidRPr="00325AAF" w:rsidRDefault="005A39F1" w:rsidP="005A39F1">
      <w:pPr>
        <w:pStyle w:val="Paragrafi"/>
        <w:rPr>
          <w:sz w:val="21"/>
          <w:szCs w:val="21"/>
        </w:rPr>
      </w:pPr>
      <w:r w:rsidRPr="00325AAF">
        <w:rPr>
          <w:sz w:val="21"/>
          <w:szCs w:val="21"/>
        </w:rPr>
        <w:t>1. Në territorin e Republikës së Shqipërisë lejohet vetëm tregtimi i benzinës pa plumb, që, në nomenklaturën e mallrave, përshkruhet në kodet CN 27101141, 27101145, 27101149, 27101151 dhe 27101159 dhe që plotëson kërkesat e përcaktuara në aneksin 1, që i bashkëlidhet këtij vendimi.</w:t>
      </w:r>
    </w:p>
    <w:p w:rsidR="005A39F1" w:rsidRPr="00325AAF" w:rsidRDefault="005A39F1" w:rsidP="005A39F1">
      <w:pPr>
        <w:pStyle w:val="Paragrafi"/>
        <w:rPr>
          <w:sz w:val="21"/>
          <w:szCs w:val="21"/>
        </w:rPr>
      </w:pPr>
      <w:r w:rsidRPr="00325AAF">
        <w:rPr>
          <w:sz w:val="21"/>
          <w:szCs w:val="21"/>
        </w:rPr>
        <w:t>2. Në territorin e Republikës së Shqipërisë, duke filluar nga data 1 janar 2009, do të lejohet, për përdorim në automjetet rrugore dhe gjeneratorët, vetëm tregtimi i lëndës djegëse diezel, që, në nomenklaturën e mallrave, përshkruhet në kodin 27101941, që plotëson kërkesat e standardit shqiptar S SH EN 590 ose të standardeve të tjera, të barasvlefshme me të, me përjashtim të kushtit për përmbajtjen e squfurit, siç parashikohet në aneksin 2, që i bashkëlidhet këtij vendimi.</w:t>
      </w:r>
    </w:p>
    <w:p w:rsidR="005A39F1" w:rsidRPr="00325AAF" w:rsidRDefault="005A39F1" w:rsidP="005A39F1">
      <w:pPr>
        <w:pStyle w:val="Paragrafi"/>
        <w:rPr>
          <w:sz w:val="21"/>
          <w:szCs w:val="21"/>
        </w:rPr>
      </w:pPr>
      <w:r w:rsidRPr="00325AAF">
        <w:rPr>
          <w:sz w:val="21"/>
          <w:szCs w:val="21"/>
        </w:rPr>
        <w:t>3. Nga data 1 janar 2009, përmbajtja e squfurit në lëndën djegëse, për motorët diezel, nuk lejohet të kalojë 350 mg/kg.</w:t>
      </w:r>
    </w:p>
    <w:p w:rsidR="005A39F1" w:rsidRPr="00325AAF" w:rsidRDefault="005A39F1" w:rsidP="005A39F1">
      <w:pPr>
        <w:pStyle w:val="Paragrafi"/>
        <w:rPr>
          <w:sz w:val="21"/>
          <w:szCs w:val="21"/>
        </w:rPr>
      </w:pPr>
      <w:r w:rsidRPr="00325AAF">
        <w:rPr>
          <w:sz w:val="21"/>
          <w:szCs w:val="21"/>
        </w:rPr>
        <w:t>4. Nga data 1 janar 2011, përmbajtja e squfurit në lëndën djegëse, për motorët diezel, nuk lejohet të kalojë 10 mg/kg.</w:t>
      </w:r>
    </w:p>
    <w:p w:rsidR="005A39F1" w:rsidRPr="00325AAF" w:rsidRDefault="005A39F1" w:rsidP="005A39F1">
      <w:pPr>
        <w:pStyle w:val="Paragrafi"/>
        <w:rPr>
          <w:sz w:val="21"/>
          <w:szCs w:val="21"/>
        </w:rPr>
      </w:pPr>
      <w:r w:rsidRPr="00325AAF">
        <w:rPr>
          <w:sz w:val="21"/>
          <w:szCs w:val="21"/>
        </w:rPr>
        <w:t>5. Duke filluar nga data 1 janar 2009, të gjitha pikat e shitjes duhet të reklamojnë, qartë dhe dukshëm, për blerësit:</w:t>
      </w:r>
    </w:p>
    <w:p w:rsidR="005A39F1" w:rsidRPr="00325AAF" w:rsidRDefault="005A39F1" w:rsidP="005A39F1">
      <w:pPr>
        <w:pStyle w:val="Paragrafi"/>
        <w:rPr>
          <w:sz w:val="21"/>
          <w:szCs w:val="21"/>
        </w:rPr>
      </w:pPr>
      <w:r w:rsidRPr="00325AAF">
        <w:rPr>
          <w:sz w:val="21"/>
          <w:szCs w:val="21"/>
        </w:rPr>
        <w:t>a) përputhjen e parametrave mjedisorë të benzinës me standardin shqiptar S SH EN 228, në fuqi, ose me standardet e tjera, të barasvlefshme me të;</w:t>
      </w:r>
    </w:p>
    <w:p w:rsidR="005A39F1" w:rsidRPr="00325AAF" w:rsidRDefault="005A39F1" w:rsidP="005A39F1">
      <w:pPr>
        <w:pStyle w:val="Paragrafi"/>
        <w:rPr>
          <w:sz w:val="21"/>
          <w:szCs w:val="21"/>
        </w:rPr>
      </w:pPr>
      <w:r w:rsidRPr="00325AAF">
        <w:rPr>
          <w:sz w:val="21"/>
          <w:szCs w:val="21"/>
        </w:rPr>
        <w:t>b) përmbajtjen maksimale, të lejueshme të squfurit, si dhe përputhjen e parametrave mjedisorë të diezelit me standardin shqiptar S SH EN 590 ose standardet e tjera, të barasvlefshme me të.</w:t>
      </w:r>
    </w:p>
    <w:p w:rsidR="005A39F1" w:rsidRPr="00325AAF" w:rsidRDefault="005A39F1" w:rsidP="005A39F1">
      <w:pPr>
        <w:pStyle w:val="Paragrafi"/>
        <w:rPr>
          <w:sz w:val="21"/>
          <w:szCs w:val="21"/>
          <w:lang w:val="it-IT"/>
        </w:rPr>
      </w:pPr>
      <w:r w:rsidRPr="00325AAF">
        <w:rPr>
          <w:sz w:val="21"/>
          <w:szCs w:val="21"/>
          <w:lang w:val="it-IT"/>
        </w:rPr>
        <w:t>6. Testimi i çdo parametri të bëhet sipas metodave të testimit, si më poshtë vijon:</w:t>
      </w:r>
    </w:p>
    <w:p w:rsidR="005A39F1" w:rsidRPr="00325AAF" w:rsidRDefault="005A39F1" w:rsidP="005A39F1">
      <w:pPr>
        <w:pStyle w:val="Paragrafi"/>
        <w:rPr>
          <w:sz w:val="21"/>
          <w:szCs w:val="21"/>
          <w:lang w:val="en-GB"/>
        </w:rPr>
      </w:pPr>
      <w:r w:rsidRPr="00325AAF">
        <w:rPr>
          <w:sz w:val="21"/>
          <w:szCs w:val="21"/>
          <w:lang w:val="en-GB"/>
        </w:rPr>
        <w:t>a) Për benzinën-sipas standardit shqiptar S SH EN 228 ose standardeve të tjera, të barasvlefshme me të;</w:t>
      </w:r>
    </w:p>
    <w:p w:rsidR="005A39F1" w:rsidRPr="00325AAF" w:rsidRDefault="005A39F1" w:rsidP="005A39F1">
      <w:pPr>
        <w:pStyle w:val="Paragrafi"/>
        <w:rPr>
          <w:sz w:val="21"/>
          <w:szCs w:val="21"/>
          <w:lang w:val="en-GB"/>
        </w:rPr>
      </w:pPr>
      <w:r w:rsidRPr="00325AAF">
        <w:rPr>
          <w:sz w:val="21"/>
          <w:szCs w:val="21"/>
          <w:lang w:val="en-GB"/>
        </w:rPr>
        <w:t>b) Për diezelin-sipas standardit shqiptar S SH EN 590 ose standardeve të tjera të barasvlefshme me të.</w:t>
      </w:r>
    </w:p>
    <w:p w:rsidR="005A39F1" w:rsidRPr="00325AAF" w:rsidRDefault="005A39F1" w:rsidP="005A39F1">
      <w:pPr>
        <w:pStyle w:val="Paragrafi"/>
        <w:rPr>
          <w:sz w:val="21"/>
          <w:szCs w:val="21"/>
          <w:lang w:val="en-GB"/>
        </w:rPr>
      </w:pPr>
      <w:r w:rsidRPr="00325AAF">
        <w:rPr>
          <w:sz w:val="21"/>
          <w:szCs w:val="21"/>
          <w:lang w:val="en-GB"/>
        </w:rPr>
        <w:t>7. Ngarkohen Ministri i Mjedisit, Pyjeve dhe Administrimit të Ujërave dhe Ministri i Ekonomisë, Tregtisë dhe Energjetikës të miratojnë udhëzimin e përbashkët për mbledhjen dhe ruajtjen e të dhënave, për cilësinë e benzinës dhe të diezelit.</w:t>
      </w:r>
    </w:p>
    <w:p w:rsidR="005A39F1" w:rsidRPr="00325AAF" w:rsidRDefault="005A39F1" w:rsidP="005A39F1">
      <w:pPr>
        <w:pStyle w:val="Paragrafi"/>
        <w:rPr>
          <w:sz w:val="21"/>
          <w:szCs w:val="21"/>
          <w:lang w:val="en-GB"/>
        </w:rPr>
      </w:pPr>
      <w:r w:rsidRPr="00325AAF">
        <w:rPr>
          <w:sz w:val="21"/>
          <w:szCs w:val="21"/>
          <w:lang w:val="en-GB"/>
        </w:rPr>
        <w:t>8. Nëse pas datës 1 janar 2009 evidentohen subjekte, që tregtojnë lëndë djegëse, me cilësi, që nuk respekton kërkesat e këtij vendimi, lënda djegëse sekuestrohet. Inspektorati Qendror Teknik përcakton destinacionin e lëndës djegëse të sekuestruar.</w:t>
      </w:r>
    </w:p>
    <w:p w:rsidR="005A39F1" w:rsidRPr="00325AAF" w:rsidRDefault="005A39F1" w:rsidP="005A39F1">
      <w:pPr>
        <w:pStyle w:val="Paragrafi"/>
        <w:rPr>
          <w:sz w:val="21"/>
          <w:szCs w:val="21"/>
          <w:lang w:val="en-GB"/>
        </w:rPr>
      </w:pPr>
      <w:r w:rsidRPr="00325AAF">
        <w:rPr>
          <w:sz w:val="21"/>
          <w:szCs w:val="21"/>
          <w:lang w:val="en-GB"/>
        </w:rPr>
        <w:t>9. Ngarkohet Inspektorati Qendror Teknik për ndjekjen e zbatimit të këtij vendimi dhe të udhëzimit të përcaktuar në pikën 7.</w:t>
      </w:r>
    </w:p>
    <w:p w:rsidR="005A39F1" w:rsidRPr="00325AAF" w:rsidRDefault="005A39F1" w:rsidP="005A39F1">
      <w:pPr>
        <w:pStyle w:val="Paragrafi"/>
        <w:rPr>
          <w:sz w:val="21"/>
          <w:szCs w:val="21"/>
          <w:lang w:val="en-GB"/>
        </w:rPr>
      </w:pPr>
      <w:r w:rsidRPr="00325AAF">
        <w:rPr>
          <w:sz w:val="21"/>
          <w:szCs w:val="21"/>
          <w:lang w:val="en-GB"/>
        </w:rPr>
        <w:t>Ky vendim hyn në fuqi pas botimit në Fletoren Zyrtare.</w:t>
      </w:r>
    </w:p>
    <w:p w:rsidR="005A39F1" w:rsidRPr="00325AAF" w:rsidRDefault="005A39F1" w:rsidP="005A39F1">
      <w:pPr>
        <w:pStyle w:val="Paragrafi"/>
        <w:rPr>
          <w:sz w:val="21"/>
          <w:szCs w:val="21"/>
          <w:lang w:val="en-GB"/>
        </w:rPr>
      </w:pPr>
    </w:p>
    <w:p w:rsidR="005A39F1" w:rsidRPr="00325AAF" w:rsidRDefault="005A39F1" w:rsidP="005A39F1">
      <w:pPr>
        <w:pStyle w:val="Autoriteti"/>
        <w:keepNext w:val="0"/>
        <w:rPr>
          <w:sz w:val="21"/>
          <w:szCs w:val="21"/>
        </w:rPr>
      </w:pPr>
      <w:r w:rsidRPr="00325AAF">
        <w:rPr>
          <w:sz w:val="21"/>
          <w:szCs w:val="21"/>
        </w:rPr>
        <w:t>Kryeministri</w:t>
      </w:r>
    </w:p>
    <w:p w:rsidR="005A39F1" w:rsidRPr="00325AAF" w:rsidRDefault="005A39F1" w:rsidP="005A39F1">
      <w:pPr>
        <w:pStyle w:val="AutoritetiEmer"/>
        <w:rPr>
          <w:sz w:val="21"/>
          <w:szCs w:val="21"/>
        </w:rPr>
      </w:pPr>
      <w:r w:rsidRPr="00325AAF">
        <w:rPr>
          <w:sz w:val="21"/>
          <w:szCs w:val="21"/>
        </w:rPr>
        <w:t>Sali Berisha</w:t>
      </w:r>
    </w:p>
    <w:p w:rsidR="005A39F1" w:rsidRPr="00325AAF" w:rsidRDefault="005A39F1" w:rsidP="005A39F1">
      <w:pPr>
        <w:pStyle w:val="Paragrafi"/>
        <w:rPr>
          <w:sz w:val="21"/>
          <w:szCs w:val="21"/>
          <w:lang w:val="it-IT"/>
        </w:rPr>
      </w:pPr>
    </w:p>
    <w:p w:rsidR="005A39F1" w:rsidRPr="00325AAF" w:rsidRDefault="005A39F1" w:rsidP="005A39F1">
      <w:pPr>
        <w:pStyle w:val="Paragrafi"/>
        <w:rPr>
          <w:sz w:val="21"/>
          <w:szCs w:val="21"/>
          <w:lang w:val="it-IT"/>
        </w:rPr>
      </w:pPr>
    </w:p>
    <w:p w:rsidR="005A39F1" w:rsidRPr="00325AAF" w:rsidRDefault="00AD1D61" w:rsidP="005A39F1">
      <w:pPr>
        <w:pStyle w:val="Paragrafi"/>
        <w:rPr>
          <w:sz w:val="21"/>
          <w:szCs w:val="21"/>
          <w:lang w:val="it-IT"/>
        </w:rPr>
      </w:pPr>
      <w:r w:rsidRPr="00325AAF">
        <w:rPr>
          <w:noProof/>
          <w:sz w:val="21"/>
          <w:szCs w:val="21"/>
          <w:lang w:val="en-GB" w:eastAsia="en-GB"/>
        </w:rPr>
        <w:lastRenderedPageBreak/>
        <w:drawing>
          <wp:inline distT="0" distB="0" distL="0" distR="0">
            <wp:extent cx="5276850" cy="6534150"/>
            <wp:effectExtent l="0" t="0" r="0" b="0"/>
            <wp:docPr id="1" name="Picture 1" descr="Untitled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titled-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653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39F1" w:rsidRPr="00325AAF" w:rsidRDefault="005A39F1" w:rsidP="005A39F1">
      <w:pPr>
        <w:pStyle w:val="Paragrafi"/>
        <w:rPr>
          <w:sz w:val="21"/>
          <w:szCs w:val="21"/>
          <w:lang w:val="it-IT"/>
        </w:rPr>
      </w:pPr>
    </w:p>
    <w:p w:rsidR="005A39F1" w:rsidRPr="00325AAF" w:rsidRDefault="005A39F1" w:rsidP="005A39F1">
      <w:pPr>
        <w:pStyle w:val="Paragrafi"/>
        <w:rPr>
          <w:sz w:val="21"/>
          <w:szCs w:val="21"/>
          <w:lang w:val="it-IT"/>
        </w:rPr>
      </w:pPr>
    </w:p>
    <w:p w:rsidR="005A39F1" w:rsidRPr="00325AAF" w:rsidRDefault="005A39F1" w:rsidP="005A39F1">
      <w:pPr>
        <w:pStyle w:val="Paragrafi"/>
        <w:rPr>
          <w:sz w:val="21"/>
          <w:szCs w:val="21"/>
          <w:lang w:val="it-IT"/>
        </w:rPr>
      </w:pPr>
    </w:p>
    <w:p w:rsidR="005A39F1" w:rsidRPr="00325AAF" w:rsidRDefault="005A39F1" w:rsidP="005A39F1">
      <w:pPr>
        <w:pStyle w:val="Paragrafi"/>
        <w:rPr>
          <w:sz w:val="21"/>
          <w:szCs w:val="21"/>
          <w:lang w:val="it-IT"/>
        </w:rPr>
      </w:pPr>
    </w:p>
    <w:p w:rsidR="005A39F1" w:rsidRPr="00325AAF" w:rsidRDefault="005A39F1" w:rsidP="005A39F1">
      <w:pPr>
        <w:pStyle w:val="Paragrafi"/>
        <w:rPr>
          <w:sz w:val="21"/>
          <w:szCs w:val="21"/>
          <w:lang w:val="it-IT"/>
        </w:rPr>
      </w:pPr>
    </w:p>
    <w:p w:rsidR="005A39F1" w:rsidRPr="00325AAF" w:rsidRDefault="005A39F1" w:rsidP="005A39F1">
      <w:pPr>
        <w:pStyle w:val="Paragrafi"/>
        <w:rPr>
          <w:sz w:val="21"/>
          <w:szCs w:val="21"/>
          <w:lang w:val="it-IT"/>
        </w:rPr>
      </w:pPr>
    </w:p>
    <w:p w:rsidR="005A39F1" w:rsidRPr="00325AAF" w:rsidRDefault="005A39F1" w:rsidP="005A39F1">
      <w:pPr>
        <w:pStyle w:val="Paragrafi"/>
        <w:rPr>
          <w:sz w:val="21"/>
          <w:szCs w:val="21"/>
          <w:lang w:val="it-IT"/>
        </w:rPr>
      </w:pPr>
    </w:p>
    <w:p w:rsidR="005A39F1" w:rsidRPr="00325AAF" w:rsidRDefault="005A39F1" w:rsidP="005A39F1">
      <w:pPr>
        <w:pStyle w:val="Paragrafi"/>
        <w:rPr>
          <w:sz w:val="21"/>
          <w:szCs w:val="21"/>
          <w:lang w:val="it-IT"/>
        </w:rPr>
      </w:pPr>
    </w:p>
    <w:p w:rsidR="005A39F1" w:rsidRPr="00325AAF" w:rsidRDefault="005A39F1" w:rsidP="005A39F1">
      <w:pPr>
        <w:pStyle w:val="Paragrafi"/>
        <w:rPr>
          <w:sz w:val="21"/>
          <w:szCs w:val="21"/>
          <w:lang w:val="it-IT"/>
        </w:rPr>
      </w:pPr>
    </w:p>
    <w:p w:rsidR="005A39F1" w:rsidRPr="00325AAF" w:rsidRDefault="005A39F1" w:rsidP="005A39F1">
      <w:pPr>
        <w:pStyle w:val="Paragrafi"/>
        <w:rPr>
          <w:sz w:val="21"/>
          <w:szCs w:val="21"/>
          <w:lang w:val="it-IT"/>
        </w:rPr>
      </w:pPr>
    </w:p>
    <w:p w:rsidR="005A39F1" w:rsidRPr="00325AAF" w:rsidRDefault="005A39F1" w:rsidP="005A39F1">
      <w:pPr>
        <w:pStyle w:val="Paragrafi"/>
        <w:rPr>
          <w:sz w:val="21"/>
          <w:szCs w:val="21"/>
          <w:lang w:val="it-IT"/>
        </w:rPr>
      </w:pPr>
    </w:p>
    <w:p w:rsidR="005A39F1" w:rsidRPr="00325AAF" w:rsidRDefault="005A39F1" w:rsidP="005A39F1">
      <w:pPr>
        <w:pStyle w:val="Paragrafi"/>
        <w:rPr>
          <w:sz w:val="21"/>
          <w:szCs w:val="21"/>
          <w:lang w:val="it-IT"/>
        </w:rPr>
      </w:pPr>
    </w:p>
    <w:p w:rsidR="005A39F1" w:rsidRPr="00325AAF" w:rsidRDefault="005A39F1" w:rsidP="005A39F1">
      <w:pPr>
        <w:pStyle w:val="Paragrafi"/>
        <w:rPr>
          <w:sz w:val="21"/>
          <w:szCs w:val="21"/>
          <w:lang w:val="it-IT"/>
        </w:rPr>
      </w:pPr>
    </w:p>
    <w:p w:rsidR="005A39F1" w:rsidRPr="00325AAF" w:rsidRDefault="005A39F1" w:rsidP="005A39F1">
      <w:pPr>
        <w:pStyle w:val="Paragrafi"/>
        <w:rPr>
          <w:sz w:val="21"/>
          <w:szCs w:val="21"/>
          <w:lang w:val="it-IT"/>
        </w:rPr>
      </w:pPr>
    </w:p>
    <w:p w:rsidR="005A39F1" w:rsidRPr="00325AAF" w:rsidRDefault="005A39F1" w:rsidP="005A39F1">
      <w:pPr>
        <w:pStyle w:val="Paragrafi"/>
        <w:jc w:val="center"/>
        <w:rPr>
          <w:sz w:val="21"/>
          <w:szCs w:val="21"/>
          <w:lang w:val="it-IT"/>
        </w:rPr>
      </w:pPr>
      <w:r w:rsidRPr="00325AAF">
        <w:rPr>
          <w:sz w:val="21"/>
          <w:szCs w:val="21"/>
          <w:lang w:val="it-IT"/>
        </w:rPr>
        <w:t>Aneksi 2</w:t>
      </w:r>
    </w:p>
    <w:p w:rsidR="005A39F1" w:rsidRPr="00325AAF" w:rsidRDefault="005A39F1" w:rsidP="005A39F1">
      <w:pPr>
        <w:pStyle w:val="Paragrafi"/>
        <w:jc w:val="center"/>
        <w:rPr>
          <w:sz w:val="21"/>
          <w:szCs w:val="21"/>
          <w:lang w:val="it-IT"/>
        </w:rPr>
      </w:pPr>
      <w:r w:rsidRPr="00325AAF">
        <w:rPr>
          <w:sz w:val="21"/>
          <w:szCs w:val="21"/>
          <w:lang w:val="it-IT"/>
        </w:rPr>
        <w:lastRenderedPageBreak/>
        <w:t>Parametrat e lejuar mjedisorë për cilësinë e lëndës djegëse diezel</w:t>
      </w:r>
    </w:p>
    <w:p w:rsidR="005A39F1" w:rsidRPr="00325AAF" w:rsidRDefault="005A39F1" w:rsidP="005A39F1">
      <w:pPr>
        <w:pStyle w:val="Paragrafi"/>
        <w:rPr>
          <w:sz w:val="21"/>
          <w:szCs w:val="21"/>
          <w:lang w:val="it-IT"/>
        </w:rPr>
      </w:pPr>
    </w:p>
    <w:tbl>
      <w:tblPr>
        <w:tblW w:w="904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91"/>
        <w:gridCol w:w="1149"/>
        <w:gridCol w:w="1090"/>
        <w:gridCol w:w="2219"/>
      </w:tblGrid>
      <w:tr w:rsidR="005A39F1" w:rsidRPr="00325AAF">
        <w:trPr>
          <w:jc w:val="center"/>
        </w:trPr>
        <w:tc>
          <w:tcPr>
            <w:tcW w:w="4591" w:type="dxa"/>
          </w:tcPr>
          <w:p w:rsidR="005A39F1" w:rsidRPr="00325AAF" w:rsidRDefault="005A39F1" w:rsidP="005A39F1">
            <w:pPr>
              <w:pStyle w:val="Tabele"/>
              <w:jc w:val="center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Parametrat</w:t>
            </w:r>
          </w:p>
        </w:tc>
        <w:tc>
          <w:tcPr>
            <w:tcW w:w="1149" w:type="dxa"/>
          </w:tcPr>
          <w:p w:rsidR="005A39F1" w:rsidRPr="00325AAF" w:rsidRDefault="005A39F1" w:rsidP="005A39F1">
            <w:pPr>
              <w:pStyle w:val="Tabele"/>
              <w:jc w:val="center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Njësia</w:t>
            </w:r>
          </w:p>
        </w:tc>
        <w:tc>
          <w:tcPr>
            <w:tcW w:w="3309" w:type="dxa"/>
            <w:gridSpan w:val="2"/>
          </w:tcPr>
          <w:p w:rsidR="005A39F1" w:rsidRPr="00325AAF" w:rsidRDefault="005A39F1" w:rsidP="005A39F1">
            <w:pPr>
              <w:pStyle w:val="Tabele"/>
              <w:jc w:val="center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Limitet</w:t>
            </w:r>
          </w:p>
        </w:tc>
      </w:tr>
      <w:tr w:rsidR="005A39F1" w:rsidRPr="00325AAF">
        <w:trPr>
          <w:jc w:val="center"/>
        </w:trPr>
        <w:tc>
          <w:tcPr>
            <w:tcW w:w="4591" w:type="dxa"/>
          </w:tcPr>
          <w:p w:rsidR="005A39F1" w:rsidRPr="00325AAF" w:rsidRDefault="005A39F1" w:rsidP="005A39F1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149" w:type="dxa"/>
          </w:tcPr>
          <w:p w:rsidR="005A39F1" w:rsidRPr="00325AAF" w:rsidRDefault="005A39F1" w:rsidP="005A39F1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090" w:type="dxa"/>
          </w:tcPr>
          <w:p w:rsidR="005A39F1" w:rsidRPr="00325AAF" w:rsidRDefault="005A39F1" w:rsidP="005A39F1">
            <w:pPr>
              <w:pStyle w:val="Tabele"/>
              <w:jc w:val="center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Minimum</w:t>
            </w:r>
          </w:p>
        </w:tc>
        <w:tc>
          <w:tcPr>
            <w:tcW w:w="2219" w:type="dxa"/>
          </w:tcPr>
          <w:p w:rsidR="005A39F1" w:rsidRPr="00325AAF" w:rsidRDefault="005A39F1" w:rsidP="005A39F1">
            <w:pPr>
              <w:pStyle w:val="Tabele"/>
              <w:jc w:val="center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Maksimum</w:t>
            </w:r>
          </w:p>
        </w:tc>
      </w:tr>
      <w:tr w:rsidR="005A39F1" w:rsidRPr="00325AAF">
        <w:trPr>
          <w:jc w:val="center"/>
        </w:trPr>
        <w:tc>
          <w:tcPr>
            <w:tcW w:w="4591" w:type="dxa"/>
          </w:tcPr>
          <w:p w:rsidR="005A39F1" w:rsidRPr="00325AAF" w:rsidRDefault="005A39F1" w:rsidP="005A39F1">
            <w:pPr>
              <w:pStyle w:val="Tabele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Numri i cetanit</w:t>
            </w:r>
          </w:p>
        </w:tc>
        <w:tc>
          <w:tcPr>
            <w:tcW w:w="1149" w:type="dxa"/>
          </w:tcPr>
          <w:p w:rsidR="005A39F1" w:rsidRPr="00325AAF" w:rsidRDefault="005A39F1" w:rsidP="005A39F1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090" w:type="dxa"/>
          </w:tcPr>
          <w:p w:rsidR="005A39F1" w:rsidRPr="00325AAF" w:rsidRDefault="005A39F1" w:rsidP="005A39F1">
            <w:pPr>
              <w:pStyle w:val="Tabele"/>
              <w:jc w:val="center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51.0</w:t>
            </w:r>
          </w:p>
        </w:tc>
        <w:tc>
          <w:tcPr>
            <w:tcW w:w="2219" w:type="dxa"/>
          </w:tcPr>
          <w:p w:rsidR="005A39F1" w:rsidRPr="00325AAF" w:rsidRDefault="005A39F1" w:rsidP="005A39F1">
            <w:pPr>
              <w:pStyle w:val="Tabele"/>
              <w:rPr>
                <w:sz w:val="21"/>
                <w:szCs w:val="21"/>
              </w:rPr>
            </w:pPr>
          </w:p>
        </w:tc>
      </w:tr>
      <w:tr w:rsidR="005A39F1" w:rsidRPr="00325AAF">
        <w:trPr>
          <w:jc w:val="center"/>
        </w:trPr>
        <w:tc>
          <w:tcPr>
            <w:tcW w:w="4591" w:type="dxa"/>
          </w:tcPr>
          <w:p w:rsidR="005A39F1" w:rsidRPr="00325AAF" w:rsidRDefault="005A39F1" w:rsidP="005A39F1">
            <w:pPr>
              <w:pStyle w:val="Tabele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Densiteti në 15</w:t>
            </w:r>
            <w:r w:rsidRPr="00325AAF">
              <w:rPr>
                <w:sz w:val="21"/>
                <w:szCs w:val="21"/>
                <w:vertAlign w:val="superscript"/>
              </w:rPr>
              <w:t>o</w:t>
            </w:r>
            <w:r w:rsidRPr="00325AAF">
              <w:rPr>
                <w:sz w:val="21"/>
                <w:szCs w:val="21"/>
              </w:rPr>
              <w:t>c</w:t>
            </w:r>
          </w:p>
        </w:tc>
        <w:tc>
          <w:tcPr>
            <w:tcW w:w="1149" w:type="dxa"/>
          </w:tcPr>
          <w:p w:rsidR="005A39F1" w:rsidRPr="00325AAF" w:rsidRDefault="005A39F1" w:rsidP="005A39F1">
            <w:pPr>
              <w:pStyle w:val="Tabele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Kg/m</w:t>
            </w:r>
            <w:r w:rsidRPr="00325AAF">
              <w:rPr>
                <w:sz w:val="21"/>
                <w:szCs w:val="21"/>
                <w:vertAlign w:val="superscript"/>
              </w:rPr>
              <w:t>3</w:t>
            </w:r>
          </w:p>
        </w:tc>
        <w:tc>
          <w:tcPr>
            <w:tcW w:w="1090" w:type="dxa"/>
          </w:tcPr>
          <w:p w:rsidR="005A39F1" w:rsidRPr="00325AAF" w:rsidRDefault="005A39F1" w:rsidP="005A39F1">
            <w:pPr>
              <w:pStyle w:val="Tabele"/>
              <w:jc w:val="center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“</w:t>
            </w:r>
          </w:p>
        </w:tc>
        <w:tc>
          <w:tcPr>
            <w:tcW w:w="2219" w:type="dxa"/>
          </w:tcPr>
          <w:p w:rsidR="005A39F1" w:rsidRPr="00325AAF" w:rsidRDefault="005A39F1" w:rsidP="005A39F1">
            <w:pPr>
              <w:pStyle w:val="Tabele"/>
              <w:jc w:val="center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845</w:t>
            </w:r>
          </w:p>
        </w:tc>
      </w:tr>
      <w:tr w:rsidR="005A39F1" w:rsidRPr="00325AAF">
        <w:trPr>
          <w:jc w:val="center"/>
        </w:trPr>
        <w:tc>
          <w:tcPr>
            <w:tcW w:w="4591" w:type="dxa"/>
          </w:tcPr>
          <w:p w:rsidR="005A39F1" w:rsidRPr="00325AAF" w:rsidRDefault="005A39F1" w:rsidP="005A39F1">
            <w:pPr>
              <w:pStyle w:val="Tabele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Pika e distilimit 95%</w:t>
            </w:r>
          </w:p>
        </w:tc>
        <w:tc>
          <w:tcPr>
            <w:tcW w:w="1149" w:type="dxa"/>
          </w:tcPr>
          <w:p w:rsidR="005A39F1" w:rsidRPr="00325AAF" w:rsidRDefault="005A39F1" w:rsidP="005A39F1">
            <w:pPr>
              <w:pStyle w:val="Tabele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C</w:t>
            </w:r>
          </w:p>
        </w:tc>
        <w:tc>
          <w:tcPr>
            <w:tcW w:w="1090" w:type="dxa"/>
          </w:tcPr>
          <w:p w:rsidR="005A39F1" w:rsidRPr="00325AAF" w:rsidRDefault="005A39F1" w:rsidP="005A39F1">
            <w:pPr>
              <w:pStyle w:val="Tabele"/>
              <w:jc w:val="center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“</w:t>
            </w:r>
          </w:p>
        </w:tc>
        <w:tc>
          <w:tcPr>
            <w:tcW w:w="2219" w:type="dxa"/>
          </w:tcPr>
          <w:p w:rsidR="005A39F1" w:rsidRPr="00325AAF" w:rsidRDefault="005A39F1" w:rsidP="005A39F1">
            <w:pPr>
              <w:pStyle w:val="Tabele"/>
              <w:jc w:val="center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360</w:t>
            </w:r>
          </w:p>
        </w:tc>
      </w:tr>
      <w:tr w:rsidR="005A39F1" w:rsidRPr="00325AAF">
        <w:trPr>
          <w:jc w:val="center"/>
        </w:trPr>
        <w:tc>
          <w:tcPr>
            <w:tcW w:w="4591" w:type="dxa"/>
          </w:tcPr>
          <w:p w:rsidR="005A39F1" w:rsidRPr="00325AAF" w:rsidRDefault="005A39F1" w:rsidP="005A39F1">
            <w:pPr>
              <w:pStyle w:val="Tabele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Hidrokarbure policiklike aromatike</w:t>
            </w:r>
          </w:p>
        </w:tc>
        <w:tc>
          <w:tcPr>
            <w:tcW w:w="1149" w:type="dxa"/>
          </w:tcPr>
          <w:p w:rsidR="005A39F1" w:rsidRPr="00325AAF" w:rsidRDefault="005A39F1" w:rsidP="005A39F1">
            <w:pPr>
              <w:pStyle w:val="Tabele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%m/m</w:t>
            </w:r>
          </w:p>
        </w:tc>
        <w:tc>
          <w:tcPr>
            <w:tcW w:w="1090" w:type="dxa"/>
          </w:tcPr>
          <w:p w:rsidR="005A39F1" w:rsidRPr="00325AAF" w:rsidRDefault="005A39F1" w:rsidP="005A39F1">
            <w:pPr>
              <w:pStyle w:val="Tabele"/>
              <w:jc w:val="center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“</w:t>
            </w:r>
          </w:p>
        </w:tc>
        <w:tc>
          <w:tcPr>
            <w:tcW w:w="2219" w:type="dxa"/>
          </w:tcPr>
          <w:p w:rsidR="005A39F1" w:rsidRPr="00325AAF" w:rsidRDefault="005A39F1" w:rsidP="005A39F1">
            <w:pPr>
              <w:pStyle w:val="Tabele"/>
              <w:jc w:val="center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11</w:t>
            </w:r>
          </w:p>
        </w:tc>
      </w:tr>
      <w:tr w:rsidR="005A39F1" w:rsidRPr="00325AAF">
        <w:trPr>
          <w:jc w:val="center"/>
        </w:trPr>
        <w:tc>
          <w:tcPr>
            <w:tcW w:w="4591" w:type="dxa"/>
          </w:tcPr>
          <w:p w:rsidR="005A39F1" w:rsidRPr="00325AAF" w:rsidRDefault="005A39F1" w:rsidP="005A39F1">
            <w:pPr>
              <w:pStyle w:val="Tabele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Përmbajtja e squfurit</w:t>
            </w:r>
          </w:p>
        </w:tc>
        <w:tc>
          <w:tcPr>
            <w:tcW w:w="1149" w:type="dxa"/>
          </w:tcPr>
          <w:p w:rsidR="005A39F1" w:rsidRPr="00325AAF" w:rsidRDefault="005A39F1" w:rsidP="005A39F1">
            <w:pPr>
              <w:pStyle w:val="Tabele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mg/kg</w:t>
            </w:r>
          </w:p>
        </w:tc>
        <w:tc>
          <w:tcPr>
            <w:tcW w:w="1090" w:type="dxa"/>
          </w:tcPr>
          <w:p w:rsidR="005A39F1" w:rsidRPr="00325AAF" w:rsidRDefault="005A39F1" w:rsidP="005A39F1">
            <w:pPr>
              <w:pStyle w:val="Tabele"/>
              <w:jc w:val="center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“</w:t>
            </w:r>
          </w:p>
        </w:tc>
        <w:tc>
          <w:tcPr>
            <w:tcW w:w="2219" w:type="dxa"/>
          </w:tcPr>
          <w:p w:rsidR="005A39F1" w:rsidRPr="00325AAF" w:rsidRDefault="005A39F1" w:rsidP="005A39F1">
            <w:pPr>
              <w:pStyle w:val="Tabele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350 nga 01.01.2009 -31.12.2010; 10 nga 01.01.2011</w:t>
            </w:r>
          </w:p>
        </w:tc>
      </w:tr>
      <w:tr w:rsidR="005A39F1" w:rsidRPr="00325AAF">
        <w:trPr>
          <w:jc w:val="center"/>
        </w:trPr>
        <w:tc>
          <w:tcPr>
            <w:tcW w:w="4591" w:type="dxa"/>
          </w:tcPr>
          <w:p w:rsidR="005A39F1" w:rsidRPr="00325AAF" w:rsidRDefault="005A39F1" w:rsidP="005A39F1">
            <w:pPr>
              <w:pStyle w:val="Tabele"/>
              <w:rPr>
                <w:sz w:val="21"/>
                <w:szCs w:val="21"/>
                <w:lang w:val="it-IT"/>
              </w:rPr>
            </w:pPr>
            <w:r w:rsidRPr="00325AAF">
              <w:rPr>
                <w:sz w:val="21"/>
                <w:szCs w:val="21"/>
                <w:lang w:val="it-IT"/>
              </w:rPr>
              <w:t>Mbeturina karboni (mbi 10% mbeturina distilimi)</w:t>
            </w:r>
          </w:p>
        </w:tc>
        <w:tc>
          <w:tcPr>
            <w:tcW w:w="1149" w:type="dxa"/>
          </w:tcPr>
          <w:p w:rsidR="005A39F1" w:rsidRPr="00325AAF" w:rsidRDefault="005A39F1" w:rsidP="005A39F1">
            <w:pPr>
              <w:pStyle w:val="Tabele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% (m/m)</w:t>
            </w:r>
          </w:p>
        </w:tc>
        <w:tc>
          <w:tcPr>
            <w:tcW w:w="1090" w:type="dxa"/>
          </w:tcPr>
          <w:p w:rsidR="005A39F1" w:rsidRPr="00325AAF" w:rsidRDefault="005A39F1" w:rsidP="005A39F1">
            <w:pPr>
              <w:pStyle w:val="Tabele"/>
              <w:jc w:val="center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“</w:t>
            </w:r>
          </w:p>
        </w:tc>
        <w:tc>
          <w:tcPr>
            <w:tcW w:w="2219" w:type="dxa"/>
          </w:tcPr>
          <w:p w:rsidR="005A39F1" w:rsidRPr="00325AAF" w:rsidRDefault="005A39F1" w:rsidP="005A39F1">
            <w:pPr>
              <w:pStyle w:val="Tabele"/>
              <w:jc w:val="center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0.30</w:t>
            </w:r>
          </w:p>
        </w:tc>
      </w:tr>
      <w:tr w:rsidR="005A39F1" w:rsidRPr="00325AAF">
        <w:trPr>
          <w:jc w:val="center"/>
        </w:trPr>
        <w:tc>
          <w:tcPr>
            <w:tcW w:w="4591" w:type="dxa"/>
          </w:tcPr>
          <w:p w:rsidR="005A39F1" w:rsidRPr="00325AAF" w:rsidRDefault="005A39F1" w:rsidP="005A39F1">
            <w:pPr>
              <w:pStyle w:val="Tabele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Përmbajtje hiri</w:t>
            </w:r>
          </w:p>
        </w:tc>
        <w:tc>
          <w:tcPr>
            <w:tcW w:w="1149" w:type="dxa"/>
          </w:tcPr>
          <w:p w:rsidR="005A39F1" w:rsidRPr="00325AAF" w:rsidRDefault="005A39F1" w:rsidP="005A39F1">
            <w:pPr>
              <w:pStyle w:val="Tabele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% (m/m)</w:t>
            </w:r>
          </w:p>
        </w:tc>
        <w:tc>
          <w:tcPr>
            <w:tcW w:w="1090" w:type="dxa"/>
          </w:tcPr>
          <w:p w:rsidR="005A39F1" w:rsidRPr="00325AAF" w:rsidRDefault="005A39F1" w:rsidP="005A39F1">
            <w:pPr>
              <w:pStyle w:val="Tabele"/>
              <w:jc w:val="center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“</w:t>
            </w:r>
          </w:p>
        </w:tc>
        <w:tc>
          <w:tcPr>
            <w:tcW w:w="2219" w:type="dxa"/>
          </w:tcPr>
          <w:p w:rsidR="005A39F1" w:rsidRPr="00325AAF" w:rsidRDefault="005A39F1" w:rsidP="005A39F1">
            <w:pPr>
              <w:pStyle w:val="Tabele"/>
              <w:jc w:val="center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0.01</w:t>
            </w:r>
          </w:p>
        </w:tc>
      </w:tr>
      <w:tr w:rsidR="005A39F1" w:rsidRPr="00325AAF">
        <w:trPr>
          <w:jc w:val="center"/>
        </w:trPr>
        <w:tc>
          <w:tcPr>
            <w:tcW w:w="4591" w:type="dxa"/>
          </w:tcPr>
          <w:p w:rsidR="005A39F1" w:rsidRPr="00325AAF" w:rsidRDefault="005A39F1" w:rsidP="005A39F1">
            <w:pPr>
              <w:pStyle w:val="Tabele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Ndotja totale</w:t>
            </w:r>
          </w:p>
        </w:tc>
        <w:tc>
          <w:tcPr>
            <w:tcW w:w="1149" w:type="dxa"/>
          </w:tcPr>
          <w:p w:rsidR="005A39F1" w:rsidRPr="00325AAF" w:rsidRDefault="005A39F1" w:rsidP="005A39F1">
            <w:pPr>
              <w:pStyle w:val="Tabele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mg/kg</w:t>
            </w:r>
          </w:p>
        </w:tc>
        <w:tc>
          <w:tcPr>
            <w:tcW w:w="1090" w:type="dxa"/>
          </w:tcPr>
          <w:p w:rsidR="005A39F1" w:rsidRPr="00325AAF" w:rsidRDefault="005A39F1" w:rsidP="005A39F1">
            <w:pPr>
              <w:pStyle w:val="Tabele"/>
              <w:jc w:val="center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“</w:t>
            </w:r>
          </w:p>
        </w:tc>
        <w:tc>
          <w:tcPr>
            <w:tcW w:w="2219" w:type="dxa"/>
          </w:tcPr>
          <w:p w:rsidR="005A39F1" w:rsidRPr="00325AAF" w:rsidRDefault="005A39F1" w:rsidP="005A39F1">
            <w:pPr>
              <w:pStyle w:val="Tabele"/>
              <w:jc w:val="center"/>
              <w:rPr>
                <w:sz w:val="21"/>
                <w:szCs w:val="21"/>
              </w:rPr>
            </w:pPr>
            <w:r w:rsidRPr="00325AAF">
              <w:rPr>
                <w:sz w:val="21"/>
                <w:szCs w:val="21"/>
              </w:rPr>
              <w:t>24</w:t>
            </w:r>
          </w:p>
        </w:tc>
      </w:tr>
    </w:tbl>
    <w:p w:rsidR="005A39F1" w:rsidRPr="00325AAF" w:rsidRDefault="005A39F1" w:rsidP="005A39F1">
      <w:pPr>
        <w:pStyle w:val="Paragrafi"/>
        <w:rPr>
          <w:sz w:val="21"/>
          <w:szCs w:val="21"/>
          <w:lang w:val="it-IT"/>
        </w:rPr>
      </w:pPr>
    </w:p>
    <w:p w:rsidR="005A39F1" w:rsidRPr="00325AAF" w:rsidRDefault="005A39F1" w:rsidP="005A39F1">
      <w:pPr>
        <w:pStyle w:val="Paragrafi"/>
        <w:rPr>
          <w:sz w:val="21"/>
          <w:szCs w:val="21"/>
          <w:lang w:val="it-IT"/>
        </w:rPr>
      </w:pPr>
    </w:p>
    <w:p w:rsidR="005A39F1" w:rsidRPr="00325AAF" w:rsidRDefault="005A39F1" w:rsidP="005A39F1">
      <w:pPr>
        <w:pStyle w:val="Paragrafi"/>
        <w:rPr>
          <w:sz w:val="21"/>
          <w:szCs w:val="21"/>
          <w:lang w:val="it-IT"/>
        </w:rPr>
      </w:pPr>
    </w:p>
    <w:p w:rsidR="005A39F1" w:rsidRPr="00325AAF" w:rsidRDefault="005A39F1" w:rsidP="005A39F1">
      <w:pPr>
        <w:pStyle w:val="Paragrafi"/>
        <w:rPr>
          <w:sz w:val="21"/>
          <w:szCs w:val="21"/>
          <w:lang w:val="it-IT"/>
        </w:rPr>
      </w:pPr>
    </w:p>
    <w:p w:rsidR="005A39F1" w:rsidRPr="00325AAF" w:rsidRDefault="005A39F1" w:rsidP="005A39F1">
      <w:pPr>
        <w:pStyle w:val="Paragrafi"/>
        <w:rPr>
          <w:sz w:val="21"/>
          <w:szCs w:val="21"/>
          <w:lang w:val="it-IT"/>
        </w:rPr>
      </w:pPr>
    </w:p>
    <w:p w:rsidR="005A39F1" w:rsidRPr="00325AAF" w:rsidRDefault="005A39F1" w:rsidP="005A39F1">
      <w:pPr>
        <w:pStyle w:val="Paragrafi"/>
        <w:rPr>
          <w:sz w:val="21"/>
          <w:szCs w:val="21"/>
          <w:lang w:val="it-IT"/>
        </w:rPr>
      </w:pPr>
    </w:p>
    <w:p w:rsidR="005A39F1" w:rsidRPr="00325AAF" w:rsidRDefault="005A39F1" w:rsidP="005A39F1">
      <w:pPr>
        <w:pStyle w:val="Paragrafi"/>
        <w:rPr>
          <w:sz w:val="21"/>
          <w:szCs w:val="21"/>
          <w:lang w:val="it-IT"/>
        </w:rPr>
      </w:pPr>
    </w:p>
    <w:p w:rsidR="005A39F1" w:rsidRPr="00325AAF" w:rsidRDefault="005A39F1" w:rsidP="005A39F1">
      <w:pPr>
        <w:pStyle w:val="Paragrafi"/>
        <w:rPr>
          <w:sz w:val="21"/>
          <w:szCs w:val="21"/>
          <w:lang w:val="it-IT"/>
        </w:rPr>
      </w:pPr>
    </w:p>
    <w:p w:rsidR="005A39F1" w:rsidRPr="00325AAF" w:rsidRDefault="005A39F1" w:rsidP="005A39F1">
      <w:pPr>
        <w:pStyle w:val="Paragrafi"/>
        <w:rPr>
          <w:sz w:val="21"/>
          <w:szCs w:val="21"/>
          <w:lang w:val="it-IT"/>
        </w:rPr>
      </w:pPr>
    </w:p>
    <w:p w:rsidR="005A39F1" w:rsidRPr="00325AAF" w:rsidRDefault="005A39F1" w:rsidP="005A39F1">
      <w:pPr>
        <w:pStyle w:val="Paragrafi"/>
        <w:rPr>
          <w:sz w:val="21"/>
          <w:szCs w:val="21"/>
          <w:lang w:val="it-IT"/>
        </w:rPr>
      </w:pPr>
    </w:p>
    <w:p w:rsidR="005A39F1" w:rsidRPr="00325AAF" w:rsidRDefault="005A39F1" w:rsidP="005A39F1">
      <w:pPr>
        <w:pStyle w:val="Paragrafi"/>
        <w:rPr>
          <w:sz w:val="21"/>
          <w:szCs w:val="21"/>
          <w:lang w:val="it-IT"/>
        </w:rPr>
      </w:pPr>
    </w:p>
    <w:p w:rsidR="005A39F1" w:rsidRPr="00325AAF" w:rsidRDefault="005A39F1" w:rsidP="005A39F1">
      <w:pPr>
        <w:pStyle w:val="Paragrafi"/>
        <w:rPr>
          <w:sz w:val="21"/>
          <w:szCs w:val="21"/>
          <w:lang w:val="it-IT"/>
        </w:rPr>
      </w:pPr>
    </w:p>
    <w:p w:rsidR="005A39F1" w:rsidRPr="00325AAF" w:rsidRDefault="005A39F1" w:rsidP="005A39F1">
      <w:pPr>
        <w:pStyle w:val="Paragrafi"/>
        <w:rPr>
          <w:sz w:val="21"/>
          <w:szCs w:val="21"/>
          <w:lang w:val="it-IT"/>
        </w:rPr>
      </w:pPr>
    </w:p>
    <w:p w:rsidR="005A39F1" w:rsidRPr="00325AAF" w:rsidRDefault="005A39F1" w:rsidP="005A39F1">
      <w:pPr>
        <w:pStyle w:val="Paragrafi"/>
        <w:rPr>
          <w:sz w:val="21"/>
          <w:szCs w:val="21"/>
          <w:lang w:val="it-IT"/>
        </w:rPr>
      </w:pPr>
    </w:p>
    <w:p w:rsidR="005A39F1" w:rsidRPr="00325AAF" w:rsidRDefault="005A39F1" w:rsidP="005A39F1">
      <w:pPr>
        <w:pStyle w:val="Paragrafi"/>
        <w:rPr>
          <w:sz w:val="21"/>
          <w:szCs w:val="21"/>
          <w:lang w:val="it-IT"/>
        </w:rPr>
      </w:pPr>
    </w:p>
    <w:p w:rsidR="005A39F1" w:rsidRPr="00325AAF" w:rsidRDefault="005A39F1" w:rsidP="005A39F1">
      <w:pPr>
        <w:pStyle w:val="Paragrafi"/>
        <w:rPr>
          <w:sz w:val="21"/>
          <w:szCs w:val="21"/>
          <w:lang w:val="it-IT"/>
        </w:rPr>
      </w:pPr>
    </w:p>
    <w:p w:rsidR="005A39F1" w:rsidRPr="00325AAF" w:rsidRDefault="005A39F1" w:rsidP="005A39F1">
      <w:pPr>
        <w:pStyle w:val="Paragrafi"/>
        <w:rPr>
          <w:sz w:val="21"/>
          <w:szCs w:val="21"/>
          <w:lang w:val="it-IT"/>
        </w:rPr>
      </w:pPr>
    </w:p>
    <w:p w:rsidR="005A39F1" w:rsidRPr="00325AAF" w:rsidRDefault="005A39F1" w:rsidP="005A39F1">
      <w:pPr>
        <w:pStyle w:val="Paragrafi"/>
        <w:rPr>
          <w:sz w:val="21"/>
          <w:szCs w:val="21"/>
          <w:lang w:val="it-IT"/>
        </w:rPr>
      </w:pPr>
    </w:p>
    <w:p w:rsidR="005A39F1" w:rsidRPr="00325AAF" w:rsidRDefault="005A39F1" w:rsidP="005A39F1">
      <w:pPr>
        <w:pStyle w:val="Paragrafi"/>
        <w:rPr>
          <w:sz w:val="21"/>
          <w:szCs w:val="21"/>
          <w:lang w:val="it-IT"/>
        </w:rPr>
      </w:pPr>
    </w:p>
    <w:p w:rsidR="005A39F1" w:rsidRPr="00325AAF" w:rsidRDefault="005A39F1" w:rsidP="005A39F1">
      <w:pPr>
        <w:pStyle w:val="Paragrafi"/>
        <w:rPr>
          <w:sz w:val="21"/>
          <w:szCs w:val="21"/>
          <w:lang w:val="it-IT"/>
        </w:rPr>
      </w:pPr>
    </w:p>
    <w:p w:rsidR="005A39F1" w:rsidRPr="00325AAF" w:rsidRDefault="005A39F1" w:rsidP="005A39F1">
      <w:pPr>
        <w:pStyle w:val="Paragrafi"/>
        <w:rPr>
          <w:sz w:val="21"/>
          <w:szCs w:val="21"/>
          <w:lang w:val="it-IT"/>
        </w:rPr>
      </w:pPr>
    </w:p>
    <w:p w:rsidR="005A39F1" w:rsidRPr="00325AAF" w:rsidRDefault="005A39F1" w:rsidP="005A39F1">
      <w:pPr>
        <w:pStyle w:val="Paragrafi"/>
        <w:rPr>
          <w:sz w:val="21"/>
          <w:szCs w:val="21"/>
          <w:lang w:val="it-IT"/>
        </w:rPr>
      </w:pPr>
    </w:p>
    <w:p w:rsidR="005A39F1" w:rsidRPr="00325AAF" w:rsidRDefault="005A39F1" w:rsidP="005A39F1">
      <w:pPr>
        <w:pStyle w:val="Paragrafi"/>
        <w:rPr>
          <w:sz w:val="21"/>
          <w:szCs w:val="21"/>
          <w:lang w:val="it-IT"/>
        </w:rPr>
      </w:pPr>
    </w:p>
    <w:p w:rsidR="005A39F1" w:rsidRPr="00325AAF" w:rsidRDefault="005A39F1" w:rsidP="005A39F1">
      <w:pPr>
        <w:pStyle w:val="Paragrafi"/>
        <w:rPr>
          <w:sz w:val="21"/>
          <w:szCs w:val="21"/>
          <w:lang w:val="it-IT"/>
        </w:rPr>
      </w:pPr>
    </w:p>
    <w:p w:rsidR="005A39F1" w:rsidRPr="00325AAF" w:rsidRDefault="00AD1D61" w:rsidP="005A39F1">
      <w:pPr>
        <w:pStyle w:val="Paragrafi"/>
        <w:rPr>
          <w:sz w:val="21"/>
          <w:szCs w:val="21"/>
          <w:lang w:val="it-IT"/>
        </w:rPr>
      </w:pPr>
      <w:r w:rsidRPr="00325AAF">
        <w:rPr>
          <w:noProof/>
          <w:sz w:val="21"/>
          <w:szCs w:val="21"/>
          <w:lang w:val="en-GB" w:eastAsia="en-GB"/>
        </w:rPr>
        <w:lastRenderedPageBreak/>
        <w:drawing>
          <wp:inline distT="0" distB="0" distL="0" distR="0">
            <wp:extent cx="5267325" cy="6896100"/>
            <wp:effectExtent l="0" t="0" r="9525" b="0"/>
            <wp:docPr id="2" name="Picture 2" descr="Untitled-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ntitled-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7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689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39F1" w:rsidRPr="00325AAF" w:rsidRDefault="005A39F1" w:rsidP="005A39F1">
      <w:pPr>
        <w:pStyle w:val="Paragrafi"/>
        <w:rPr>
          <w:sz w:val="21"/>
          <w:szCs w:val="21"/>
          <w:lang w:val="it-IT"/>
        </w:rPr>
      </w:pPr>
    </w:p>
    <w:p w:rsidR="005A39F1" w:rsidRPr="00325AAF" w:rsidRDefault="005A39F1" w:rsidP="005A39F1">
      <w:pPr>
        <w:pStyle w:val="Paragrafi"/>
        <w:rPr>
          <w:sz w:val="21"/>
          <w:szCs w:val="21"/>
          <w:lang w:val="it-IT"/>
        </w:rPr>
      </w:pPr>
    </w:p>
    <w:p w:rsidR="005A39F1" w:rsidRPr="00325AAF" w:rsidRDefault="005A39F1" w:rsidP="005A39F1">
      <w:pPr>
        <w:pStyle w:val="Paragrafi"/>
        <w:rPr>
          <w:sz w:val="21"/>
          <w:szCs w:val="21"/>
          <w:lang w:val="it-IT"/>
        </w:rPr>
      </w:pPr>
    </w:p>
    <w:p w:rsidR="005A39F1" w:rsidRPr="00325AAF" w:rsidRDefault="005A39F1" w:rsidP="005A39F1">
      <w:pPr>
        <w:pStyle w:val="Paragrafi"/>
        <w:rPr>
          <w:sz w:val="21"/>
          <w:szCs w:val="21"/>
          <w:lang w:val="it-IT"/>
        </w:rPr>
      </w:pPr>
    </w:p>
    <w:p w:rsidR="005A39F1" w:rsidRPr="00325AAF" w:rsidRDefault="00AD1D61" w:rsidP="005A39F1">
      <w:pPr>
        <w:pStyle w:val="Paragrafi"/>
        <w:rPr>
          <w:sz w:val="21"/>
          <w:szCs w:val="21"/>
          <w:lang w:val="it-IT"/>
        </w:rPr>
      </w:pPr>
      <w:r w:rsidRPr="00325AAF">
        <w:rPr>
          <w:noProof/>
          <w:sz w:val="21"/>
          <w:szCs w:val="21"/>
          <w:lang w:val="en-GB" w:eastAsia="en-GB"/>
        </w:rPr>
        <w:lastRenderedPageBreak/>
        <w:drawing>
          <wp:inline distT="0" distB="0" distL="0" distR="0">
            <wp:extent cx="4295775" cy="8858250"/>
            <wp:effectExtent l="0" t="0" r="9525" b="0"/>
            <wp:docPr id="3" name="Picture 3" descr="Untitled-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Untitled-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5775" cy="885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39F1" w:rsidRPr="00325AAF" w:rsidRDefault="00AD1D61" w:rsidP="005A39F1">
      <w:pPr>
        <w:pStyle w:val="Paragrafi"/>
        <w:rPr>
          <w:sz w:val="21"/>
          <w:szCs w:val="21"/>
          <w:lang w:val="it-IT"/>
        </w:rPr>
      </w:pPr>
      <w:r w:rsidRPr="00325AAF">
        <w:rPr>
          <w:noProof/>
          <w:sz w:val="21"/>
          <w:szCs w:val="21"/>
          <w:lang w:val="en-GB" w:eastAsia="en-GB"/>
        </w:rPr>
        <w:lastRenderedPageBreak/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-328295</wp:posOffset>
            </wp:positionH>
            <wp:positionV relativeFrom="paragraph">
              <wp:posOffset>-685165</wp:posOffset>
            </wp:positionV>
            <wp:extent cx="6688455" cy="7830820"/>
            <wp:effectExtent l="0" t="0" r="0" b="0"/>
            <wp:wrapTopAndBottom/>
            <wp:docPr id="5" name="Picture 3" descr="Untitled-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Untitled-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3580"/>
                    <a:stretch>
                      <a:fillRect/>
                    </a:stretch>
                  </pic:blipFill>
                  <pic:spPr bwMode="auto">
                    <a:xfrm rot="-43200000">
                      <a:off x="0" y="0"/>
                      <a:ext cx="6688455" cy="7830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A39F1" w:rsidRPr="00325AAF" w:rsidRDefault="005A39F1" w:rsidP="005A39F1">
      <w:pPr>
        <w:pStyle w:val="Paragrafi"/>
        <w:rPr>
          <w:sz w:val="21"/>
          <w:szCs w:val="21"/>
          <w:lang w:val="it-IT"/>
        </w:rPr>
      </w:pPr>
    </w:p>
    <w:p w:rsidR="005A39F1" w:rsidRPr="00325AAF" w:rsidRDefault="005A39F1" w:rsidP="005A39F1">
      <w:pPr>
        <w:pStyle w:val="Paragrafi"/>
        <w:rPr>
          <w:sz w:val="21"/>
          <w:szCs w:val="21"/>
          <w:lang w:val="it-IT"/>
        </w:rPr>
      </w:pPr>
    </w:p>
    <w:p w:rsidR="005A39F1" w:rsidRPr="00325AAF" w:rsidRDefault="005A39F1" w:rsidP="005A39F1">
      <w:pPr>
        <w:pStyle w:val="Paragrafi"/>
        <w:rPr>
          <w:sz w:val="21"/>
          <w:szCs w:val="21"/>
          <w:lang w:val="it-IT"/>
        </w:rPr>
      </w:pPr>
    </w:p>
    <w:p w:rsidR="005A39F1" w:rsidRPr="00325AAF" w:rsidRDefault="00AD1D61" w:rsidP="005A39F1">
      <w:pPr>
        <w:pStyle w:val="Paragrafi"/>
        <w:ind w:left="720" w:firstLine="0"/>
        <w:rPr>
          <w:sz w:val="21"/>
          <w:szCs w:val="21"/>
        </w:rPr>
      </w:pPr>
      <w:r w:rsidRPr="00325AAF">
        <w:rPr>
          <w:noProof/>
          <w:sz w:val="21"/>
          <w:szCs w:val="21"/>
          <w:lang w:val="en-GB" w:eastAsia="en-GB"/>
        </w:rPr>
        <w:drawing>
          <wp:inline distT="0" distB="0" distL="0" distR="0">
            <wp:extent cx="5124450" cy="8858250"/>
            <wp:effectExtent l="0" t="0" r="0" b="0"/>
            <wp:docPr id="4" name="Picture 2" descr="Untitled-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ntitled-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4450" cy="885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A39F1" w:rsidRPr="00325AAF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A39F1"/>
    <w:rsid w:val="000178C2"/>
    <w:rsid w:val="005A39F1"/>
    <w:rsid w:val="00AD1D61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0BDB0C0-4095-4AA2-BAE0-9AFCBF531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39F1"/>
    <w:pPr>
      <w:widowControl w:val="0"/>
    </w:pPr>
    <w:rPr>
      <w:rFonts w:ascii="CG Times" w:hAnsi="CG Times"/>
      <w:sz w:val="22"/>
      <w:szCs w:val="22"/>
      <w:lang w:val="sq-AL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link w:val="AktiChar"/>
    <w:rsid w:val="005A39F1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character" w:customStyle="1" w:styleId="AktiChar">
    <w:name w:val="Akti Char"/>
    <w:basedOn w:val="DefaultParagraphFont"/>
    <w:link w:val="Akti"/>
    <w:rsid w:val="005A39F1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5A39F1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NumriData">
    <w:name w:val="Numri_Data"/>
    <w:next w:val="Normal"/>
    <w:rsid w:val="005A39F1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5A39F1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abele">
    <w:name w:val="Tabele"/>
    <w:rsid w:val="005A39F1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5A39F1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5A39F1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5A39F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5A39F1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Autoriteti">
    <w:name w:val="Autoriteti"/>
    <w:next w:val="Normal"/>
    <w:rsid w:val="005A39F1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5A39F1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490</Words>
  <Characters>2797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3281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2019-03-16T14:52:00Z</dcterms:created>
  <dcterms:modified xsi:type="dcterms:W3CDTF">2019-03-16T14:52:00Z</dcterms:modified>
</cp:coreProperties>
</file>