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C1D" w:rsidRPr="00945A6E" w:rsidRDefault="000F5C1D" w:rsidP="000F5C1D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0F5C1D" w:rsidRPr="00945A6E" w:rsidRDefault="000F5C1D" w:rsidP="000F5C1D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Nr.178, datë 4.4.2007</w:t>
      </w: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marrjen e masave për zbatimin e studimit të reformës së kërkimit shkencor, pjesë e rrjetiti të instituteve të akademisë së shkencave</w:t>
      </w: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Kushtetutës, të ligjit nr.9655, datë 11.12.2006 “Për Akademinë e Shkencave të Republikës së Shqipërisë” dhe të ligjit nr.8461, datë 25.2.1999 “Për arsimin e lartë në Republikën e Shqipërisë</w:t>
      </w:r>
      <w:r>
        <w:rPr>
          <w:lang w:val="it-IT"/>
        </w:rPr>
        <w:t>”</w:t>
      </w:r>
      <w:r w:rsidRPr="00945A6E">
        <w:rPr>
          <w:lang w:val="it-IT"/>
        </w:rPr>
        <w:t>, të ndryshuar, me propozimin e zëvendëskryeministrit, Këshilli i Ministrave</w:t>
      </w: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Default="000F5C1D" w:rsidP="000F5C1D">
      <w:pPr>
        <w:pStyle w:val="Paragrafi0"/>
        <w:rPr>
          <w:lang w:val="it-IT"/>
        </w:rPr>
      </w:pPr>
      <w:r w:rsidRPr="00945A6E">
        <w:rPr>
          <w:lang w:val="it-IT"/>
        </w:rPr>
        <w:t>1. Ministria e Arsimit dhe Shkencës të marrë të gjitha masat e nevojshme për zbatimin e studimit të reformës së kërkimit shkencor, sipas tabelës/aneksit, që i bashkëlidhet këtij vendimi.</w:t>
      </w: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  <w:r w:rsidRPr="00945A6E">
        <w:rPr>
          <w:lang w:val="it-IT"/>
        </w:rPr>
        <w:t>2. Ministria e Arsimit dhe Shkencës të paraqesë për miratim në Këshillin e Ministrave paketën, e plotë e të hollësishme, për riorganizimin institucional të institucioneve të kërkimit, që kanë qenë në varësi të Akademisë së Shkencave, brenda 2 muajve nga hyrja në fuqi e këtij vendimi.</w:t>
      </w:r>
    </w:p>
    <w:p w:rsidR="000F5C1D" w:rsidRPr="00945A6E" w:rsidRDefault="000F5C1D" w:rsidP="000F5C1D">
      <w:pPr>
        <w:pStyle w:val="Paragrafi0"/>
        <w:rPr>
          <w:lang w:val="it-IT"/>
        </w:rPr>
      </w:pPr>
      <w:r w:rsidRPr="00945A6E">
        <w:rPr>
          <w:lang w:val="it-IT"/>
        </w:rPr>
        <w:t>3. Ngarkohen Ministria e Arsimit dhe Shkencës dhe Akademia e Shkencave për zbatim</w:t>
      </w:r>
      <w:r>
        <w:rPr>
          <w:lang w:val="it-IT"/>
        </w:rPr>
        <w:t>i</w:t>
      </w:r>
      <w:r w:rsidRPr="00945A6E">
        <w:rPr>
          <w:lang w:val="it-IT"/>
        </w:rPr>
        <w:t>n e këtij vendimi.</w:t>
      </w:r>
    </w:p>
    <w:p w:rsidR="000F5C1D" w:rsidRPr="00945A6E" w:rsidRDefault="000F5C1D" w:rsidP="000F5C1D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0F5C1D" w:rsidRPr="00945A6E" w:rsidRDefault="000F5C1D" w:rsidP="000F5C1D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</w:pPr>
    </w:p>
    <w:p w:rsidR="000F5C1D" w:rsidRPr="00945A6E" w:rsidRDefault="000F5C1D" w:rsidP="000F5C1D">
      <w:pPr>
        <w:pStyle w:val="Paragrafi0"/>
        <w:rPr>
          <w:lang w:val="it-IT"/>
        </w:rPr>
        <w:sectPr w:rsidR="000F5C1D" w:rsidRPr="00945A6E" w:rsidSect="000F5C1D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3"/>
          <w:cols w:space="720"/>
          <w:docGrid w:linePitch="360"/>
        </w:sectPr>
      </w:pPr>
    </w:p>
    <w:p w:rsidR="000F5C1D" w:rsidRPr="00945A6E" w:rsidRDefault="000F5C1D" w:rsidP="000F5C1D">
      <w:pPr>
        <w:pStyle w:val="TitulliNr"/>
        <w:keepNext w:val="0"/>
        <w:rPr>
          <w:lang w:val="it-IT"/>
        </w:rPr>
      </w:pPr>
      <w:r w:rsidRPr="00945A6E">
        <w:rPr>
          <w:lang w:val="it-IT"/>
        </w:rPr>
        <w:lastRenderedPageBreak/>
        <w:t>Tabela Anekse 1</w:t>
      </w:r>
    </w:p>
    <w:p w:rsidR="000F5C1D" w:rsidRPr="00945A6E" w:rsidRDefault="000F5C1D" w:rsidP="000F5C1D">
      <w:pPr>
        <w:pStyle w:val="TitulliTitull"/>
        <w:keepNext w:val="0"/>
        <w:rPr>
          <w:lang w:val="it-IT"/>
        </w:rPr>
      </w:pPr>
      <w:r w:rsidRPr="00945A6E">
        <w:rPr>
          <w:lang w:val="it-IT"/>
        </w:rPr>
        <w:t>Matrica e vlerësimit të instituteve kërkimore të akademisë së Shkencave dhe propozimet për riorganizimin institucional të tyre</w:t>
      </w:r>
    </w:p>
    <w:p w:rsidR="000F5C1D" w:rsidRPr="00945A6E" w:rsidRDefault="000F5C1D" w:rsidP="000F5C1D">
      <w:pPr>
        <w:pStyle w:val="Paragrafi0"/>
        <w:rPr>
          <w:lang w:val="it-IT"/>
        </w:rPr>
      </w:pPr>
    </w:p>
    <w:tbl>
      <w:tblPr>
        <w:tblStyle w:val="Foo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2854"/>
        <w:gridCol w:w="2889"/>
      </w:tblGrid>
      <w:tr w:rsidR="000F5C1D" w:rsidRPr="000F5C1D" w:rsidTr="000F5C1D"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INSTITUTI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PROPOZIMET KONKRETE PËR REFORMIMIN E INSTITUCIONIT KËRKIMOR</w:t>
            </w: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PROPOZIMET KONKRETE PËR INSTITUCIONIN E RI OSE ATË PRITËS</w:t>
            </w:r>
          </w:p>
        </w:tc>
      </w:tr>
      <w:tr w:rsidR="000F5C1D" w:rsidRPr="000F5C1D" w:rsidTr="000F5C1D"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1. INSTITUTI I GJUHËSISË DHE  LETËRSISË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2. INSTITUTI I HISTORISË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3. QENDRA E ENCIKLOPESISË SHQIPTARE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 xml:space="preserve">4. INSTITUTI I KULTURËS POPULLORE 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5. QENDRA E STUDIMIT TË ARTEVE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6. INSTITUTI I ARKEOLOGJISË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Mbi bazën e këtyre instituteve ngrihet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Qendra Ndëruniversitare e Studimeve Albanologjike (QNSA)</w:t>
            </w: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Misioni i QNSA do të jetë kërkimi shkencor në fushat albanologjike dhe ndihmesa në përgatitjen e studentëve, veçanërisht në nivelet e magjistraturës dhe doktoratës. Personeli shkencor i Qendrës do të ketë së paku 30 % të kohës së punës veprimtari mësimore në universitet. Pjesa tjetër e ngarkesës do të jetë kërkim shkencor.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QNSA organizohet në departamente ose institute pasi të jenë ristudiuar fushat e kërkimit shkencor të Qendrës. Mbi këtë bazë do të ndërtohet organika dhe do të integrohet i gjithë personeli shkencor dhe një pjesë e atij ndihmës të instituteve ekzistuese. Organike e QNSA miratohet nga MASH-i.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QNSA do të gëzojë autonominë në përputhje me ligjin e shkencës dhe zhvillimit të teknologjisë dhe ligjin e arsimit të lartë, derisa të hartohet dhe miratohet ligji i ri për arsimin e lartë.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QNSA do të ketë varësi institucionale nga Ministria e Arsimit dhe shkencës, e njëjtë si varësia që kanë universitetet nga MASH-i</w:t>
            </w:r>
          </w:p>
        </w:tc>
      </w:tr>
      <w:tr w:rsidR="000F5C1D" w:rsidRPr="000F5C1D" w:rsidTr="000F5C1D"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7. INSTITUTI I EKONOMISË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Instituti shkrihet. Personeli shkencor të kalojë pranë Fakultetit të Ekonomisë, Universiteti i Tiranës</w:t>
            </w: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Fakulteti i Ekonomisë integron personelin shkencor në përputhje me nevojat që ka për personel mësimor-shkencor.</w:t>
            </w:r>
          </w:p>
        </w:tc>
      </w:tr>
      <w:tr w:rsidR="000F5C1D" w:rsidRPr="000F5C1D" w:rsidTr="000F5C1D"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8. INSTITUTI I SIZmOLOGJISË (IS)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Integrohet në Qendrën Kërkimore Universitare të Gjeoshkencave (QKGJ) pranë Universitetit Politeknik të Tiranës (UPT).</w:t>
            </w: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Qendra Kërkimore Universitare e Gjeoshkecave (QKGJ) ngrihet pranë UPT dhe përbëhet nga departametet e mëposhtme: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- Departamenti i Gjologjisë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- Departamenti i Gjeofizikës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- Laborator i Gjeoteknikës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- Laborator i Gjeoinformacionit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lastRenderedPageBreak/>
              <w:t>- Arkivi Qendror i Gjoinformacionit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Ky institut do të jetë baza e DEPT të gjeofizikës të QKGJ. Personeli i instituti integrohet përmes konkursit në QKGJ, mbi bazë e organikës së re të propozuar nga universiteti dhe të miratuar nga MASH-i</w:t>
            </w:r>
          </w:p>
        </w:tc>
      </w:tr>
      <w:tr w:rsidR="000F5C1D" w:rsidRPr="000F5C1D" w:rsidTr="000F5C1D"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lastRenderedPageBreak/>
              <w:t>9. INSTITUTI I HIDROMETEOROLOGJISË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Integrohet në Qendrën Kërkimore Universitare të Ujit, Energjisë dhe Mjedisit (QKUEM) pranë UPT.</w:t>
            </w: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QKUEM do të ketë departamentet e mëposhtme: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- Departamenti i energjisë dhe ujit formohet mbi bazën e DEPT të hidrologjisë të ASH, sektorit të hidrologjisë (Shërbimi Gjeologjik dhe Qendrës së Kërkimeve Hidraulike të ASH.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- Departamenti i mjedisit formohet mbi bazën e dept. të mjedisit të këtij instituti dhe sektorit të gjeomjedisit (Shërbimi Gjeologjik)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- Departamenti e klimës formohet mbi bazën e Departamentit në metrologjisë.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Personeli i institutit  integrohet përmes konkursit në QKUEM, mbi bazën e organikës së re të propozuar nga universiteti dhe të miratuar nga MASH-i.</w:t>
            </w:r>
          </w:p>
        </w:tc>
      </w:tr>
      <w:tr w:rsidR="000F5C1D" w:rsidRPr="000F5C1D" w:rsidTr="000F5C1D">
        <w:trPr>
          <w:trHeight w:val="79"/>
        </w:trPr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10. QENDRA E KËRKIMEVE HIDRAULIKE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Integrohet në Qendrën Këkimore Universitare të Ujit, Energjisë dhe Mjedisit (QKUEM) pranë UPT.</w:t>
            </w: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Bëhet pjesë e dept. të energjisë dhe ujit e QKUEM (shih më lart).</w:t>
            </w:r>
          </w:p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Personeli i Qendrës integrohet, përmes konkursit, në QKUEM, mbi bazën e organikës së re të propozuar nga universiteti dhe të miratuar nga MASH-i</w:t>
            </w:r>
          </w:p>
        </w:tc>
      </w:tr>
      <w:tr w:rsidR="000F5C1D" w:rsidRPr="000F5C1D" w:rsidTr="000F5C1D"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11. QENDRA E STUDIMEVE GJEOGRAFIKE (QSGJ)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Bashkohet me dept. gjeografisë të Universitetit të Tiranës (UT)</w:t>
            </w: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Bashkohen me dep. e Gjeografisë pranë UT.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  <w:lang w:val="it-IT"/>
              </w:rPr>
              <w:t>Personeli integrohet përmes konkursit në dept. gjeografisë të UT, mbi bazën e organikës së re të propozuar nga universiteti dhe të miratuar nga MASH-i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</w:tc>
      </w:tr>
      <w:tr w:rsidR="000F5C1D" w:rsidRPr="000F5C1D" w:rsidTr="000F5C1D"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12. INSTITUTI I KËRKIMEVE BIOLOGJIKE (IKB)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- Instituti shkrihet. Pjesa e Institutit  që lidhet me kërkimin në biologji molekulare dhe bioteknologji integrohet në strukturat që do të ngrihen në Universitetin Bujqësor të Tiranës (UBT).</w:t>
            </w:r>
          </w:p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Pjesa e instituti që bën kërkim në fushën e florës mund të integrohet në Fakultetin e Shkencave të Natyrës të Universitetit të Tiranës (UT).</w:t>
            </w:r>
          </w:p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lastRenderedPageBreak/>
              <w:t>- Herbari Kombëtar të marrë statusin si njësi e shërbimit universitar, pranë Muzeut të Shkencave Natyrore të Fakultetit Shkencave Natyrore të UT.</w:t>
            </w:r>
          </w:p>
          <w:p w:rsidR="000F5C1D" w:rsidRPr="000F5C1D" w:rsidRDefault="000F5C1D" w:rsidP="000F5C1D">
            <w:pPr>
              <w:pStyle w:val="Tabele"/>
              <w:rPr>
                <w:sz w:val="16"/>
              </w:rPr>
            </w:pP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lastRenderedPageBreak/>
              <w:t>Në UBT krijohet një fakultet i ri që mbulon fushat e bioteknologjisë, mikrobiologjisë e teknologjisë ushqimore, si dhe të cilësisë së ushqimit të njeriut, në të cilin, përveç IKB, përfshihen edhe disa departamente ekzistuese të këtij universiteti në fushat e lartpërmendura. Fakulteti mund të quhet Fakulteti i Bioteknologjisë &amp; Ushqimit.</w:t>
            </w:r>
          </w:p>
          <w:p w:rsidR="000F5C1D" w:rsidRPr="000F5C1D" w:rsidRDefault="000F5C1D" w:rsidP="000F5C1D">
            <w:pPr>
              <w:pStyle w:val="Tabele"/>
              <w:rPr>
                <w:sz w:val="16"/>
              </w:rPr>
            </w:pP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  <w:r w:rsidRPr="000F5C1D">
              <w:rPr>
                <w:sz w:val="16"/>
              </w:rPr>
              <w:t xml:space="preserve">Personeli i IKB integrohet përmes konkursit në fakultetin e ri të UBT dhe në Fakutetin. </w:t>
            </w:r>
            <w:r w:rsidRPr="000F5C1D">
              <w:rPr>
                <w:sz w:val="16"/>
                <w:lang w:val="it-IT"/>
              </w:rPr>
              <w:t>Shkencave të UT, mbi bazën e organikës së miratuar nga shkollat e larta dhe MASH-i.</w:t>
            </w:r>
          </w:p>
          <w:p w:rsidR="000F5C1D" w:rsidRPr="000F5C1D" w:rsidRDefault="000F5C1D" w:rsidP="000F5C1D">
            <w:pPr>
              <w:pStyle w:val="Tabele"/>
              <w:rPr>
                <w:sz w:val="16"/>
                <w:lang w:val="it-IT"/>
              </w:rPr>
            </w:pPr>
          </w:p>
        </w:tc>
      </w:tr>
      <w:tr w:rsidR="000F5C1D" w:rsidRPr="000F5C1D" w:rsidTr="000F5C1D">
        <w:tc>
          <w:tcPr>
            <w:tcW w:w="1757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lastRenderedPageBreak/>
              <w:t>13. INSTITUTI FIZIKËS BËRTHAMORE (IFB)</w:t>
            </w:r>
          </w:p>
        </w:tc>
        <w:tc>
          <w:tcPr>
            <w:tcW w:w="161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Instituti riorganizohet në formën e Autoritetit Kombëtar Atomik në varësi të MASH-it</w:t>
            </w:r>
          </w:p>
        </w:tc>
        <w:tc>
          <w:tcPr>
            <w:tcW w:w="1631" w:type="pct"/>
          </w:tcPr>
          <w:p w:rsidR="000F5C1D" w:rsidRPr="000F5C1D" w:rsidRDefault="000F5C1D" w:rsidP="000F5C1D">
            <w:pPr>
              <w:pStyle w:val="Tabele"/>
              <w:rPr>
                <w:sz w:val="16"/>
              </w:rPr>
            </w:pPr>
            <w:r w:rsidRPr="000F5C1D">
              <w:rPr>
                <w:sz w:val="16"/>
              </w:rPr>
              <w:t>Në funksion të këtij organizimi, përbërje të Autoritetit Kombëtare Atomik mbeten vetëm njësitë që kryejnë detyra/funksione të tilla. Të tilla janë departamenti i mbrojtjes radiologjike humane dhe mjedisit dhe një pjesë e departamentit të teknologjive. Njësitë e tjera duhet të integrohen në departamentin fizikës të Fakultetit të Shkencave të Universitetit të Tiranës.</w:t>
            </w:r>
          </w:p>
        </w:tc>
      </w:tr>
    </w:tbl>
    <w:p w:rsidR="000F5C1D" w:rsidRPr="00945A6E" w:rsidRDefault="000F5C1D" w:rsidP="000F5C1D">
      <w:pPr>
        <w:pStyle w:val="Paragrafi0"/>
        <w:rPr>
          <w:lang w:val="en-GB"/>
        </w:rPr>
      </w:pPr>
    </w:p>
    <w:sectPr w:rsidR="000F5C1D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11D7B">
      <w:pPr>
        <w:spacing w:after="0" w:line="240" w:lineRule="auto"/>
      </w:pPr>
      <w:r>
        <w:separator/>
      </w:r>
    </w:p>
  </w:endnote>
  <w:endnote w:type="continuationSeparator" w:id="0">
    <w:p w:rsidR="00000000" w:rsidRDefault="00B1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C1D" w:rsidRDefault="000F5C1D" w:rsidP="000F5C1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5C1D" w:rsidRDefault="000F5C1D" w:rsidP="000F5C1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C1D" w:rsidRPr="00937CF7" w:rsidRDefault="000F5C1D" w:rsidP="000F5C1D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937CF7">
      <w:rPr>
        <w:rStyle w:val="PageNumber"/>
        <w:rFonts w:ascii="CG Times" w:hAnsi="CG Times"/>
      </w:rPr>
      <w:fldChar w:fldCharType="begin"/>
    </w:r>
    <w:r w:rsidRPr="00937CF7">
      <w:rPr>
        <w:rStyle w:val="PageNumber"/>
        <w:rFonts w:ascii="CG Times" w:hAnsi="CG Times"/>
      </w:rPr>
      <w:instrText xml:space="preserve">PAGE  </w:instrText>
    </w:r>
    <w:r w:rsidRPr="00937CF7">
      <w:rPr>
        <w:rStyle w:val="PageNumber"/>
        <w:rFonts w:ascii="CG Times" w:hAnsi="CG Times"/>
      </w:rPr>
      <w:fldChar w:fldCharType="separate"/>
    </w:r>
    <w:r w:rsidR="00B11D7B">
      <w:rPr>
        <w:rStyle w:val="PageNumber"/>
        <w:rFonts w:ascii="CG Times" w:hAnsi="CG Times"/>
        <w:noProof/>
      </w:rPr>
      <w:t>5</w:t>
    </w:r>
    <w:r w:rsidRPr="00937CF7">
      <w:rPr>
        <w:rStyle w:val="PageNumber"/>
        <w:rFonts w:ascii="CG Times" w:hAnsi="CG Times"/>
      </w:rPr>
      <w:fldChar w:fldCharType="end"/>
    </w:r>
  </w:p>
  <w:p w:rsidR="000F5C1D" w:rsidRDefault="000F5C1D" w:rsidP="000F5C1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11D7B">
      <w:pPr>
        <w:spacing w:after="0" w:line="240" w:lineRule="auto"/>
      </w:pPr>
      <w:r>
        <w:separator/>
      </w:r>
    </w:p>
  </w:footnote>
  <w:footnote w:type="continuationSeparator" w:id="0">
    <w:p w:rsidR="00000000" w:rsidRDefault="00B11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5C1D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5C1D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349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55C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1D7B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D3D8B2-CDF3-4DAA-9DAF-E9D5420D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C1D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Footer">
    <w:name w:val="footer"/>
    <w:basedOn w:val="Normal"/>
    <w:link w:val="FooterChar"/>
    <w:rsid w:val="000F5C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5C1D"/>
    <w:rPr>
      <w:rFonts w:ascii="Calibri" w:eastAsia="Calibri" w:hAnsi="Calibri"/>
      <w:sz w:val="22"/>
      <w:szCs w:val="22"/>
      <w:lang w:val="en-US" w:eastAsia="en-US" w:bidi="en-US"/>
    </w:rPr>
  </w:style>
  <w:style w:type="character" w:styleId="PageNumber">
    <w:name w:val="page number"/>
    <w:basedOn w:val="DefaultParagraphFont"/>
    <w:rsid w:val="000F5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2019-03-17T19:17:00Z</dcterms:created>
  <dcterms:modified xsi:type="dcterms:W3CDTF">2019-03-17T19:17:00Z</dcterms:modified>
</cp:coreProperties>
</file>