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B7F" w:rsidRPr="009E3F96" w:rsidRDefault="000F2B7F" w:rsidP="000F2B7F">
      <w:pPr>
        <w:pStyle w:val="Akti"/>
        <w:keepNext w:val="0"/>
        <w:rPr>
          <w:lang w:val="it-IT"/>
        </w:rPr>
      </w:pPr>
      <w:bookmarkStart w:id="0" w:name="_GoBack"/>
      <w:bookmarkEnd w:id="0"/>
      <w:r w:rsidRPr="009E3F96">
        <w:rPr>
          <w:lang w:val="it-IT"/>
        </w:rPr>
        <w:t>VENDIM</w:t>
      </w:r>
    </w:p>
    <w:p w:rsidR="000F2B7F" w:rsidRPr="009E3F96" w:rsidRDefault="000F2B7F" w:rsidP="000F2B7F">
      <w:pPr>
        <w:pStyle w:val="NumriData"/>
        <w:keepNext w:val="0"/>
        <w:rPr>
          <w:szCs w:val="22"/>
          <w:lang w:val="it-IT"/>
        </w:rPr>
      </w:pPr>
      <w:r w:rsidRPr="009E3F96">
        <w:rPr>
          <w:szCs w:val="22"/>
          <w:lang w:val="it-IT"/>
        </w:rPr>
        <w:t>Nr.296, datë 16.5.2007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PËR SHPRONËSIMIN, PËR INTERES PUBLIK, TË PRONARËVE TË PASURIVE TË PALUAJTSHME, PRONË PRIVATE, TË CILAT PREKEN NGA NDËRTIMI I RRETHRROTULLIMIT DHE UNAZËS LINDORE, FIER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Në mbështetje të nenit 100 të Kushtetutës, të neneve 5 pika 1, 20 e 21 të 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VENDOSI"/>
        <w:keepNext w:val="0"/>
        <w:rPr>
          <w:lang w:val="it-IT"/>
        </w:rPr>
      </w:pPr>
      <w:r w:rsidRPr="009E3F96">
        <w:rPr>
          <w:lang w:val="it-IT"/>
        </w:rPr>
        <w:t>VENDOSI: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1. Shpronësimin, për interes publik, të pronarëve të pasurive të paluajtshme, pronë private, që preken nga ndërtimi i rrethrrotullimit dhe unazës lindore, Fier.</w:t>
      </w:r>
    </w:p>
    <w:p w:rsidR="000F2B7F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2. Shpronësimi të bëhet në favor të Drejtorisë së Përgjithshme të Rrugëve.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3. Pronarët e pasurive të paluajtshme, që shpronësohen, të kompensohen në vlerë të plotë, sipas masës përkatëse, që paraqitet në tabelën, që i bashkëlidhet këtij vendimi, për sipërfaqen 121 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 xml:space="preserve"> tokë truall, të vlerësuar me 10 000 lekë/m</w:t>
      </w:r>
      <w:r w:rsidRPr="009E3F96">
        <w:rPr>
          <w:szCs w:val="22"/>
          <w:vertAlign w:val="superscript"/>
          <w:lang w:val="it-IT"/>
        </w:rPr>
        <w:t>2</w:t>
      </w:r>
      <w:r w:rsidRPr="009E3F96">
        <w:rPr>
          <w:szCs w:val="22"/>
          <w:lang w:val="it-IT"/>
        </w:rPr>
        <w:t>, me vlerë të përgjithshme 1 210 000 (një milion e dyqind e dhjetë mijë) lekë dhe për objektin me vlerë 2 081 221 (dy milionë e tetëdhjetë e një mijë e dyqind e njëzet e një) lekë, me vlerë të përgjithshme shpronësimi 3 291 221 (tre milionë e dyqind e nëntëdhjetë e një mijë e dyqind e njëzet e një) lekë.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4. Shpenzimet procedurale, në shumën 179 000 (njëqind e shtatëdhjetë e nëntë mijë) lekë, të përballohen nga Drejtoria e Përgjithshme e Rrugëve.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5. Vlera e përgjithshme e shpronësimit, 3 291 221 (tre milionë e dyqind e nëntëdhjetë e një mijë e dyqind e njëzet e një) lekë, të përballohet nga llogaria speciale, e krijuar si transfertë kapitale për t’u përdorur për shpronësimet.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6. Shpronësimi të fillojë më 15.5.2007 dhe të përfundojë më 15.6.2007.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7. Pronarët e përcaktuar në listën, që i bashkëlidhet këtij vendimi, për të cilët është bërë shënimi “Plotësim dokumentacioni”, të kompensohen, për efekt shpronësimi, pasi të kenë paraqitur dokumentacionin e plotë të pronësisë, pranë Drejtorisë së Përgjithshme të Rrugëve. Deri në këto çaste paratë do të qëndrojnë të bllokuara në bankë.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8. Ngarkohen Ministria e Punëve Publike, Transportit dhe Telekomunikacionit dhe Drejtoria e Përgjithshme e Rrugëve për zbatimin e këtij vendimi.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Ky vendim hyn në fuqi menjëherë dhe botohet në Fletoren Zyrtare.</w:t>
      </w: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0F2B7F" w:rsidP="000F2B7F">
      <w:pPr>
        <w:pStyle w:val="Autoriteti"/>
        <w:keepNext w:val="0"/>
        <w:rPr>
          <w:lang w:val="it-IT"/>
        </w:rPr>
      </w:pPr>
      <w:r w:rsidRPr="009E3F96">
        <w:rPr>
          <w:lang w:val="it-IT"/>
        </w:rPr>
        <w:t>KRYEMINISTRI</w:t>
      </w:r>
    </w:p>
    <w:p w:rsidR="000F2B7F" w:rsidRPr="009E3F96" w:rsidRDefault="000F2B7F" w:rsidP="000F2B7F">
      <w:pPr>
        <w:pStyle w:val="AutoritetiEmer"/>
        <w:rPr>
          <w:lang w:val="it-IT"/>
        </w:rPr>
      </w:pPr>
      <w:r w:rsidRPr="009E3F96">
        <w:rPr>
          <w:lang w:val="it-IT"/>
        </w:rPr>
        <w:t>Sali Berisha</w:t>
      </w:r>
    </w:p>
    <w:p w:rsidR="000F2B7F" w:rsidRPr="009E3F96" w:rsidRDefault="000F2B7F" w:rsidP="000F2B7F">
      <w:pPr>
        <w:pStyle w:val="Paragrafi"/>
      </w:pPr>
    </w:p>
    <w:p w:rsidR="000F2B7F" w:rsidRPr="009E3F96" w:rsidRDefault="000F2B7F" w:rsidP="000F2B7F">
      <w:pPr>
        <w:pStyle w:val="Paragrafi"/>
      </w:pPr>
    </w:p>
    <w:p w:rsidR="000F2B7F" w:rsidRPr="009E3F96" w:rsidRDefault="000F2B7F" w:rsidP="000F2B7F">
      <w:pPr>
        <w:pStyle w:val="Paragrafi"/>
      </w:pPr>
    </w:p>
    <w:p w:rsidR="000F2B7F" w:rsidRPr="009E3F96" w:rsidRDefault="000F2B7F" w:rsidP="000F2B7F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LISTA E PRONARËVE TË PASURIVE TË PALUAJTSHME QË PREKEN NGA NDËRTIMI I RRETHRROTULLIMIT DHE UNAZËS LINDORE, FIER</w:t>
      </w:r>
    </w:p>
    <w:p w:rsidR="000F2B7F" w:rsidRPr="009E3F96" w:rsidRDefault="000F2B7F" w:rsidP="000F2B7F">
      <w:pPr>
        <w:pStyle w:val="Paragrafi"/>
      </w:pPr>
    </w:p>
    <w:tbl>
      <w:tblPr>
        <w:tblStyle w:val="TableGrid"/>
        <w:tblW w:w="9448" w:type="dxa"/>
        <w:jc w:val="center"/>
        <w:tblLook w:val="01E0" w:firstRow="1" w:lastRow="1" w:firstColumn="1" w:lastColumn="1" w:noHBand="0" w:noVBand="0"/>
      </w:tblPr>
      <w:tblGrid>
        <w:gridCol w:w="642"/>
        <w:gridCol w:w="1545"/>
        <w:gridCol w:w="1093"/>
        <w:gridCol w:w="1099"/>
        <w:gridCol w:w="1115"/>
        <w:gridCol w:w="1090"/>
        <w:gridCol w:w="1230"/>
        <w:gridCol w:w="1634"/>
      </w:tblGrid>
      <w:tr w:rsidR="000F2B7F" w:rsidRPr="009E3F96">
        <w:trPr>
          <w:jc w:val="center"/>
        </w:trPr>
        <w:tc>
          <w:tcPr>
            <w:tcW w:w="642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Nr.</w:t>
            </w:r>
          </w:p>
        </w:tc>
        <w:tc>
          <w:tcPr>
            <w:tcW w:w="1545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Emri</w:t>
            </w:r>
          </w:p>
        </w:tc>
        <w:tc>
          <w:tcPr>
            <w:tcW w:w="1093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Nr.pas</w:t>
            </w:r>
          </w:p>
        </w:tc>
        <w:tc>
          <w:tcPr>
            <w:tcW w:w="1099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Sip.m</w:t>
            </w:r>
            <w:r w:rsidRPr="009E3F96">
              <w:rPr>
                <w:szCs w:val="22"/>
                <w:vertAlign w:val="superscript"/>
                <w:lang w:val="it-IT"/>
              </w:rPr>
              <w:t>2</w:t>
            </w:r>
            <w:r w:rsidRPr="009E3F96">
              <w:rPr>
                <w:szCs w:val="22"/>
                <w:lang w:val="it-IT"/>
              </w:rPr>
              <w:t xml:space="preserve"> truall</w:t>
            </w:r>
          </w:p>
        </w:tc>
        <w:tc>
          <w:tcPr>
            <w:tcW w:w="1115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Çmimi lekë/m</w:t>
            </w:r>
            <w:r w:rsidRPr="009E3F96">
              <w:rPr>
                <w:szCs w:val="22"/>
                <w:vertAlign w:val="superscript"/>
                <w:lang w:val="it-IT"/>
              </w:rPr>
              <w:t>2</w:t>
            </w:r>
          </w:p>
        </w:tc>
        <w:tc>
          <w:tcPr>
            <w:tcW w:w="109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Objekt me vlerë lekë</w:t>
            </w:r>
          </w:p>
        </w:tc>
        <w:tc>
          <w:tcPr>
            <w:tcW w:w="123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Vlera lekë</w:t>
            </w:r>
          </w:p>
        </w:tc>
        <w:tc>
          <w:tcPr>
            <w:tcW w:w="1634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Shënime</w:t>
            </w:r>
          </w:p>
        </w:tc>
      </w:tr>
      <w:tr w:rsidR="000F2B7F" w:rsidRPr="009E3F96">
        <w:trPr>
          <w:jc w:val="center"/>
        </w:trPr>
        <w:tc>
          <w:tcPr>
            <w:tcW w:w="642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</w:t>
            </w:r>
          </w:p>
        </w:tc>
        <w:tc>
          <w:tcPr>
            <w:tcW w:w="1545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Agush Aqif Veliu</w:t>
            </w:r>
          </w:p>
        </w:tc>
        <w:tc>
          <w:tcPr>
            <w:tcW w:w="1093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5/188</w:t>
            </w:r>
          </w:p>
        </w:tc>
        <w:tc>
          <w:tcPr>
            <w:tcW w:w="1099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67</w:t>
            </w:r>
          </w:p>
        </w:tc>
        <w:tc>
          <w:tcPr>
            <w:tcW w:w="1115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10 000</w:t>
            </w:r>
          </w:p>
        </w:tc>
        <w:tc>
          <w:tcPr>
            <w:tcW w:w="109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</w:p>
        </w:tc>
        <w:tc>
          <w:tcPr>
            <w:tcW w:w="123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670 000</w:t>
            </w:r>
          </w:p>
        </w:tc>
        <w:tc>
          <w:tcPr>
            <w:tcW w:w="1634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Plotësim dokumentacioni</w:t>
            </w:r>
          </w:p>
        </w:tc>
      </w:tr>
      <w:tr w:rsidR="000F2B7F" w:rsidRPr="009E3F96">
        <w:trPr>
          <w:jc w:val="center"/>
        </w:trPr>
        <w:tc>
          <w:tcPr>
            <w:tcW w:w="642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2</w:t>
            </w:r>
          </w:p>
        </w:tc>
        <w:tc>
          <w:tcPr>
            <w:tcW w:w="1545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Juljan Dashamir Mahmutaj</w:t>
            </w:r>
          </w:p>
        </w:tc>
        <w:tc>
          <w:tcPr>
            <w:tcW w:w="1093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7/263</w:t>
            </w:r>
          </w:p>
        </w:tc>
        <w:tc>
          <w:tcPr>
            <w:tcW w:w="1099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54</w:t>
            </w:r>
          </w:p>
        </w:tc>
        <w:tc>
          <w:tcPr>
            <w:tcW w:w="1115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10 000</w:t>
            </w:r>
          </w:p>
        </w:tc>
        <w:tc>
          <w:tcPr>
            <w:tcW w:w="109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2 081 221</w:t>
            </w:r>
          </w:p>
        </w:tc>
        <w:tc>
          <w:tcPr>
            <w:tcW w:w="1230" w:type="dxa"/>
          </w:tcPr>
          <w:p w:rsidR="000F2B7F" w:rsidRPr="009E3F96" w:rsidRDefault="000F2B7F" w:rsidP="000F2B7F">
            <w:pPr>
              <w:pStyle w:val="Tabele"/>
              <w:widowControl w:val="0"/>
              <w:jc w:val="center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2 621 221</w:t>
            </w:r>
          </w:p>
        </w:tc>
        <w:tc>
          <w:tcPr>
            <w:tcW w:w="1634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Plotësim dokumentacioni</w:t>
            </w:r>
          </w:p>
        </w:tc>
      </w:tr>
      <w:tr w:rsidR="000F2B7F" w:rsidRPr="009E3F96">
        <w:trPr>
          <w:jc w:val="center"/>
        </w:trPr>
        <w:tc>
          <w:tcPr>
            <w:tcW w:w="642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  <w:tc>
          <w:tcPr>
            <w:tcW w:w="1545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Totali</w:t>
            </w:r>
          </w:p>
        </w:tc>
        <w:tc>
          <w:tcPr>
            <w:tcW w:w="1093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  <w:tc>
          <w:tcPr>
            <w:tcW w:w="1099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  <w:tc>
          <w:tcPr>
            <w:tcW w:w="1115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  <w:tc>
          <w:tcPr>
            <w:tcW w:w="1090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  <w:tc>
          <w:tcPr>
            <w:tcW w:w="1230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  <w:r w:rsidRPr="009E3F96">
              <w:rPr>
                <w:szCs w:val="22"/>
                <w:lang w:val="it-IT"/>
              </w:rPr>
              <w:t>3 291 221</w:t>
            </w:r>
          </w:p>
        </w:tc>
        <w:tc>
          <w:tcPr>
            <w:tcW w:w="1634" w:type="dxa"/>
          </w:tcPr>
          <w:p w:rsidR="000F2B7F" w:rsidRPr="009E3F96" w:rsidRDefault="000F2B7F" w:rsidP="000F2B7F">
            <w:pPr>
              <w:pStyle w:val="Tabele"/>
              <w:widowControl w:val="0"/>
              <w:rPr>
                <w:szCs w:val="22"/>
                <w:lang w:val="it-IT"/>
              </w:rPr>
            </w:pPr>
          </w:p>
        </w:tc>
      </w:tr>
    </w:tbl>
    <w:p w:rsidR="000F2B7F" w:rsidRPr="009E3F96" w:rsidRDefault="000F2B7F" w:rsidP="000F2B7F">
      <w:pPr>
        <w:pStyle w:val="Paragrafi"/>
      </w:pPr>
    </w:p>
    <w:p w:rsidR="000F2B7F" w:rsidRPr="009E3F96" w:rsidRDefault="000F2B7F" w:rsidP="000F2B7F">
      <w:pPr>
        <w:pStyle w:val="Paragrafi"/>
        <w:rPr>
          <w:szCs w:val="22"/>
          <w:lang w:val="it-IT"/>
        </w:rPr>
      </w:pPr>
    </w:p>
    <w:p w:rsidR="000F2B7F" w:rsidRPr="009E3F96" w:rsidRDefault="0096259E" w:rsidP="000F2B7F">
      <w:pPr>
        <w:pStyle w:val="Figure"/>
      </w:pPr>
      <w:r w:rsidRPr="009E3F96">
        <w:rPr>
          <w:noProof/>
          <w:lang w:val="en-GB" w:eastAsia="en-GB"/>
        </w:rPr>
        <w:drawing>
          <wp:inline distT="0" distB="0" distL="0" distR="0">
            <wp:extent cx="5046980" cy="69723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7F" w:rsidRPr="009E3F96" w:rsidRDefault="000F2B7F" w:rsidP="000F2B7F">
      <w:pPr>
        <w:pStyle w:val="Akti"/>
        <w:keepNext w:val="0"/>
        <w:rPr>
          <w:lang w:val="it-IT"/>
        </w:rPr>
      </w:pPr>
    </w:p>
    <w:p w:rsidR="000F2B7F" w:rsidRPr="009E3F96" w:rsidRDefault="000F2B7F" w:rsidP="000F2B7F">
      <w:pPr>
        <w:pStyle w:val="Akti"/>
        <w:keepNext w:val="0"/>
        <w:rPr>
          <w:lang w:val="it-IT"/>
        </w:rPr>
      </w:pPr>
    </w:p>
    <w:p w:rsidR="000F2B7F" w:rsidRPr="009E3F96" w:rsidRDefault="0096259E" w:rsidP="000F2B7F">
      <w:pPr>
        <w:pStyle w:val="Figure"/>
      </w:pPr>
      <w:r w:rsidRPr="009E3F96">
        <w:rPr>
          <w:noProof/>
          <w:lang w:val="en-GB" w:eastAsia="en-GB"/>
        </w:rPr>
        <w:lastRenderedPageBreak/>
        <w:drawing>
          <wp:inline distT="0" distB="0" distL="0" distR="0">
            <wp:extent cx="5046980" cy="7632065"/>
            <wp:effectExtent l="0" t="0" r="127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763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7F" w:rsidRPr="009E3F96" w:rsidRDefault="0096259E" w:rsidP="000F2B7F">
      <w:pPr>
        <w:pStyle w:val="Figure"/>
      </w:pPr>
      <w:r w:rsidRPr="009E3F96">
        <w:rPr>
          <w:noProof/>
          <w:lang w:val="en-GB" w:eastAsia="en-GB"/>
        </w:rPr>
        <w:lastRenderedPageBreak/>
        <w:drawing>
          <wp:inline distT="0" distB="0" distL="0" distR="0">
            <wp:extent cx="4810760" cy="834390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7F" w:rsidRPr="009E3F96" w:rsidRDefault="000F2B7F" w:rsidP="000F2B7F">
      <w:pPr>
        <w:pStyle w:val="Akti"/>
        <w:keepNext w:val="0"/>
        <w:rPr>
          <w:lang w:val="it-IT"/>
        </w:rPr>
      </w:pPr>
    </w:p>
    <w:p w:rsidR="000F2B7F" w:rsidRPr="009E3F96" w:rsidRDefault="000F2B7F" w:rsidP="000F2B7F">
      <w:pPr>
        <w:pStyle w:val="Akti"/>
        <w:keepNext w:val="0"/>
        <w:rPr>
          <w:lang w:val="it-IT"/>
        </w:rPr>
      </w:pPr>
    </w:p>
    <w:sectPr w:rsidR="000F2B7F" w:rsidRPr="009E3F9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2B7F"/>
    <w:rsid w:val="000178C2"/>
    <w:rsid w:val="000F2B7F"/>
    <w:rsid w:val="0096259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27C378-1A1D-4BFB-9AAB-8E9B73D4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B7F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F2B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F2B7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F2B7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Figure">
    <w:name w:val="Figure"/>
    <w:next w:val="Normal"/>
    <w:rsid w:val="000F2B7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F2B7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F2B7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F2B7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F2B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F2B7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F2B7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F2B7F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F2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0F2B7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F2B7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