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E4F" w:rsidRPr="009E3F96" w:rsidRDefault="005D0E4F" w:rsidP="005D0E4F">
      <w:pPr>
        <w:pStyle w:val="Akti"/>
        <w:keepNext w:val="0"/>
        <w:rPr>
          <w:lang w:val="it-IT"/>
        </w:rPr>
      </w:pPr>
      <w:bookmarkStart w:id="0" w:name="_GoBack"/>
      <w:bookmarkEnd w:id="0"/>
      <w:r w:rsidRPr="009E3F96">
        <w:rPr>
          <w:lang w:val="it-IT"/>
        </w:rPr>
        <w:t>VENDIM</w:t>
      </w:r>
    </w:p>
    <w:p w:rsidR="005D0E4F" w:rsidRPr="009E3F96" w:rsidRDefault="005D0E4F" w:rsidP="005D0E4F">
      <w:pPr>
        <w:pStyle w:val="NumriData"/>
        <w:keepNext w:val="0"/>
        <w:rPr>
          <w:szCs w:val="22"/>
          <w:lang w:val="it-IT"/>
        </w:rPr>
      </w:pPr>
      <w:r w:rsidRPr="009E3F96">
        <w:rPr>
          <w:szCs w:val="22"/>
          <w:lang w:val="it-IT"/>
        </w:rPr>
        <w:t>Nr.297, datë 16.5.2007</w:t>
      </w:r>
    </w:p>
    <w:p w:rsidR="005D0E4F" w:rsidRPr="009E3F96" w:rsidRDefault="005D0E4F" w:rsidP="005D0E4F">
      <w:pPr>
        <w:pStyle w:val="Paragrafi"/>
        <w:rPr>
          <w:szCs w:val="22"/>
          <w:lang w:val="it-IT"/>
        </w:rPr>
      </w:pPr>
    </w:p>
    <w:p w:rsidR="005D0E4F" w:rsidRPr="009E3F96" w:rsidRDefault="005D0E4F" w:rsidP="005D0E4F">
      <w:pPr>
        <w:pStyle w:val="Titulli"/>
        <w:keepNext w:val="0"/>
        <w:rPr>
          <w:lang w:val="it-IT"/>
        </w:rPr>
      </w:pPr>
      <w:r w:rsidRPr="009E3F96">
        <w:rPr>
          <w:lang w:val="it-IT"/>
        </w:rPr>
        <w:t xml:space="preserve">PËR SHPRONËSIMIN, PËR INTERES PUBLIK, TË PRONARËVE TË PASURIVE TË PALUAJTSHME, PRONË PRIVATE, TË CILAT PREKEN SI REZULTAT I REHABILITIMIT TË SHKARJEVE TË NDODHURA NË SEGMENTIN RRUGOR </w:t>
      </w:r>
    </w:p>
    <w:p w:rsidR="005D0E4F" w:rsidRPr="009E3F96" w:rsidRDefault="005D0E4F" w:rsidP="005D0E4F">
      <w:pPr>
        <w:pStyle w:val="Titulli"/>
        <w:keepNext w:val="0"/>
        <w:rPr>
          <w:lang w:val="it-IT"/>
        </w:rPr>
      </w:pPr>
      <w:r w:rsidRPr="009E3F96">
        <w:rPr>
          <w:lang w:val="it-IT"/>
        </w:rPr>
        <w:t>ZONA IV, PROSEK</w:t>
      </w:r>
    </w:p>
    <w:p w:rsidR="005D0E4F" w:rsidRPr="009E3F96" w:rsidRDefault="005D0E4F" w:rsidP="005D0E4F">
      <w:pPr>
        <w:pStyle w:val="Paragrafi"/>
        <w:rPr>
          <w:szCs w:val="22"/>
          <w:lang w:val="it-IT"/>
        </w:rPr>
      </w:pPr>
    </w:p>
    <w:p w:rsidR="005D0E4F" w:rsidRPr="009E3F96" w:rsidRDefault="005D0E4F" w:rsidP="005D0E4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Në mbështetje të nenit 100 të Kushtetutës dhe të neneve 5, pika 1, 20 e 21 të ligjit nr.8561, datë 22.12.1999 “Për shpronësimet dhe marrjen në përdorim të përkohshëm të pasurisë, pronë private, për interes publik” dhe të nenit 8 të ligjit nr.9464, datë 28.12.2005 “Për Buxhetin e Shtetit të vitit 2006”, të ndryshuar, me propozimin e Ministrit të Punëve Publike, Transportit dhe Telekomunikacionit, Këshilli i Ministrave</w:t>
      </w:r>
    </w:p>
    <w:p w:rsidR="005D0E4F" w:rsidRPr="009E3F96" w:rsidRDefault="005D0E4F" w:rsidP="005D0E4F">
      <w:pPr>
        <w:pStyle w:val="Paragrafi"/>
        <w:ind w:firstLine="0"/>
        <w:rPr>
          <w:szCs w:val="22"/>
          <w:lang w:val="it-IT"/>
        </w:rPr>
      </w:pPr>
    </w:p>
    <w:p w:rsidR="005D0E4F" w:rsidRPr="009E3F96" w:rsidRDefault="005D0E4F" w:rsidP="005D0E4F">
      <w:pPr>
        <w:pStyle w:val="VENDOSI"/>
        <w:keepNext w:val="0"/>
        <w:rPr>
          <w:lang w:val="it-IT"/>
        </w:rPr>
      </w:pPr>
      <w:r w:rsidRPr="009E3F96">
        <w:rPr>
          <w:lang w:val="it-IT"/>
        </w:rPr>
        <w:t>VENDOSI:</w:t>
      </w:r>
    </w:p>
    <w:p w:rsidR="005D0E4F" w:rsidRPr="009E3F96" w:rsidRDefault="005D0E4F" w:rsidP="005D0E4F">
      <w:pPr>
        <w:pStyle w:val="Paragrafi"/>
        <w:rPr>
          <w:szCs w:val="22"/>
          <w:lang w:val="it-IT"/>
        </w:rPr>
      </w:pPr>
    </w:p>
    <w:p w:rsidR="005D0E4F" w:rsidRPr="009E3F96" w:rsidRDefault="005D0E4F" w:rsidP="005D0E4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1. Shpronësimin, për interes publik, të pronarëve të pasurive të paluajtshme, pronë private, që preken si rezultat i rehabilitimit të shkarjeve të ndodhura në segmentin rrugor zona IV, Prosek.</w:t>
      </w:r>
    </w:p>
    <w:p w:rsidR="005D0E4F" w:rsidRPr="009E3F96" w:rsidRDefault="005D0E4F" w:rsidP="005D0E4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2. Shpronësimi të bëhet në favor të Drejtorisë së Përgjithshme të Rrugëve.</w:t>
      </w:r>
    </w:p>
    <w:p w:rsidR="005D0E4F" w:rsidRPr="009E3F96" w:rsidRDefault="005D0E4F" w:rsidP="005D0E4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3. Pronarët e pasurive të paluajtshme, pronë private, që shpronësohen, të kompensohen në vlerë të plotë, sipas masës së paraqitur në tabelën, që i bashkëlidhet këtij vendimi, si pjesë përbërëse e tij, për sipërfaqen 1 546 m</w:t>
      </w:r>
      <w:r w:rsidRPr="009E3F96">
        <w:rPr>
          <w:szCs w:val="22"/>
          <w:vertAlign w:val="superscript"/>
          <w:lang w:val="it-IT"/>
        </w:rPr>
        <w:t>2</w:t>
      </w:r>
      <w:r w:rsidRPr="009E3F96">
        <w:rPr>
          <w:szCs w:val="22"/>
          <w:lang w:val="it-IT"/>
        </w:rPr>
        <w:t>, tokë/arë, e vlerësuar me 400 lekë/m</w:t>
      </w:r>
      <w:r w:rsidRPr="009E3F96">
        <w:rPr>
          <w:szCs w:val="22"/>
          <w:vertAlign w:val="superscript"/>
          <w:lang w:val="it-IT"/>
        </w:rPr>
        <w:t>2</w:t>
      </w:r>
      <w:r w:rsidRPr="009E3F96">
        <w:rPr>
          <w:szCs w:val="22"/>
          <w:lang w:val="it-IT"/>
        </w:rPr>
        <w:t xml:space="preserve"> dhe 630 m</w:t>
      </w:r>
      <w:r w:rsidRPr="009E3F96">
        <w:rPr>
          <w:szCs w:val="22"/>
          <w:vertAlign w:val="superscript"/>
          <w:lang w:val="it-IT"/>
        </w:rPr>
        <w:t>2</w:t>
      </w:r>
      <w:r w:rsidRPr="009E3F96">
        <w:rPr>
          <w:szCs w:val="22"/>
          <w:lang w:val="it-IT"/>
        </w:rPr>
        <w:t xml:space="preserve"> tokë/arë, e vlerësuar me 900 lekë/m</w:t>
      </w:r>
      <w:r w:rsidRPr="009E3F96">
        <w:rPr>
          <w:szCs w:val="22"/>
          <w:vertAlign w:val="superscript"/>
          <w:lang w:val="it-IT"/>
        </w:rPr>
        <w:t>2</w:t>
      </w:r>
      <w:r w:rsidRPr="009E3F96">
        <w:rPr>
          <w:szCs w:val="22"/>
          <w:lang w:val="it-IT"/>
        </w:rPr>
        <w:t>, në shumën e përgjithshme me 1 185 400 (një milion e njëqind e tetëdhjetë e pesë mijë e katërqind) lekë.</w:t>
      </w:r>
    </w:p>
    <w:p w:rsidR="005D0E4F" w:rsidRPr="009E3F96" w:rsidRDefault="005D0E4F" w:rsidP="005D0E4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4. Shpenzimet procedurale, në shumën 179 000 (njëqind e shtatëdhjetë e nëntë mijë) lekë, të përballohen nga Drejtoria e Përgjithshme e Rrugëve.</w:t>
      </w:r>
    </w:p>
    <w:p w:rsidR="005D0E4F" w:rsidRPr="009E3F96" w:rsidRDefault="005D0E4F" w:rsidP="005D0E4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5. Vlera e përgjithshme e shpronësimit prej 1 185 400 (një milion e njëqind e tetëdhjetë e pesë mijë e katërqind) lekësh, të përballohet nga llogaria speciale, e krijuar si transfertë kapitale, për t’u përdorur për shpronësimet.</w:t>
      </w:r>
    </w:p>
    <w:p w:rsidR="005D0E4F" w:rsidRPr="009E3F96" w:rsidRDefault="005D0E4F" w:rsidP="005D0E4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6. Shpronësimi të fillojë e të përfundojë brenda muajit qershor 2007.</w:t>
      </w:r>
    </w:p>
    <w:p w:rsidR="005D0E4F" w:rsidRPr="009E3F96" w:rsidRDefault="005D0E4F" w:rsidP="005D0E4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 xml:space="preserve">7. Drejtoria e Përgjithshme e Rrugëve të bëjë likuidimin e pronarëve, brenda afatit të parashikuar në pikën 6. </w:t>
      </w:r>
    </w:p>
    <w:p w:rsidR="005D0E4F" w:rsidRPr="009E3F96" w:rsidRDefault="005D0E4F" w:rsidP="005D0E4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8. Ngarkohet Ministria e Punëve Publike, Transportit dhe Telekomunikacionit për zbatimin e këtij vendimi.</w:t>
      </w:r>
    </w:p>
    <w:p w:rsidR="005D0E4F" w:rsidRPr="009E3F96" w:rsidRDefault="005D0E4F" w:rsidP="005D0E4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Ky vendim hyn në fuqi menjëherë dhe botohet në Fletoren Zyrtare.</w:t>
      </w:r>
    </w:p>
    <w:p w:rsidR="005D0E4F" w:rsidRPr="009E3F96" w:rsidRDefault="005D0E4F" w:rsidP="005D0E4F">
      <w:pPr>
        <w:pStyle w:val="Paragrafi"/>
        <w:rPr>
          <w:szCs w:val="22"/>
          <w:lang w:val="it-IT"/>
        </w:rPr>
      </w:pPr>
    </w:p>
    <w:p w:rsidR="005D0E4F" w:rsidRPr="009E3F96" w:rsidRDefault="005D0E4F" w:rsidP="005D0E4F">
      <w:pPr>
        <w:pStyle w:val="Autoriteti"/>
        <w:keepNext w:val="0"/>
        <w:rPr>
          <w:lang w:val="it-IT"/>
        </w:rPr>
      </w:pPr>
      <w:r w:rsidRPr="009E3F96">
        <w:rPr>
          <w:lang w:val="it-IT"/>
        </w:rPr>
        <w:t>KRYEMINISTRI</w:t>
      </w:r>
    </w:p>
    <w:p w:rsidR="005D0E4F" w:rsidRPr="009E3F96" w:rsidRDefault="005D0E4F" w:rsidP="005D0E4F">
      <w:pPr>
        <w:pStyle w:val="AutoritetiEmer"/>
        <w:rPr>
          <w:lang w:val="it-IT"/>
        </w:rPr>
      </w:pPr>
      <w:r w:rsidRPr="009E3F96">
        <w:rPr>
          <w:lang w:val="it-IT"/>
        </w:rPr>
        <w:t>Sali Berisha</w:t>
      </w:r>
    </w:p>
    <w:p w:rsidR="005D0E4F" w:rsidRPr="009E3F96" w:rsidRDefault="005D0E4F" w:rsidP="005D0E4F">
      <w:pPr>
        <w:pStyle w:val="Paragrafi"/>
        <w:rPr>
          <w:szCs w:val="22"/>
          <w:lang w:val="it-IT"/>
        </w:rPr>
      </w:pPr>
    </w:p>
    <w:p w:rsidR="005D0E4F" w:rsidRPr="009E3F96" w:rsidRDefault="005D0E4F" w:rsidP="005D0E4F">
      <w:pPr>
        <w:pStyle w:val="Titulli"/>
        <w:keepNext w:val="0"/>
        <w:rPr>
          <w:lang w:val="it-IT"/>
        </w:rPr>
      </w:pPr>
      <w:r w:rsidRPr="009E3F96">
        <w:rPr>
          <w:lang w:val="it-IT"/>
        </w:rPr>
        <w:t>Lista e pronarëve që do të shpronësohen si rezultat i rehabilitimit të shkarjeve të ndodhura në segmentin rrugor zona IV, Prosek</w:t>
      </w:r>
    </w:p>
    <w:p w:rsidR="005D0E4F" w:rsidRPr="009E3F96" w:rsidRDefault="005D0E4F" w:rsidP="005D0E4F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325"/>
        <w:gridCol w:w="1317"/>
        <w:gridCol w:w="1321"/>
        <w:gridCol w:w="1321"/>
        <w:gridCol w:w="1321"/>
        <w:gridCol w:w="1319"/>
        <w:gridCol w:w="1363"/>
      </w:tblGrid>
      <w:tr w:rsidR="005D0E4F" w:rsidRPr="009E3F96">
        <w:tc>
          <w:tcPr>
            <w:tcW w:w="1325" w:type="dxa"/>
          </w:tcPr>
          <w:p w:rsidR="005D0E4F" w:rsidRPr="009E3F96" w:rsidRDefault="005D0E4F" w:rsidP="005D0E4F">
            <w:pPr>
              <w:pStyle w:val="Tabele"/>
              <w:widowControl w:val="0"/>
              <w:jc w:val="center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Pronari</w:t>
            </w:r>
          </w:p>
        </w:tc>
        <w:tc>
          <w:tcPr>
            <w:tcW w:w="1317" w:type="dxa"/>
          </w:tcPr>
          <w:p w:rsidR="005D0E4F" w:rsidRPr="009E3F96" w:rsidRDefault="005D0E4F" w:rsidP="005D0E4F">
            <w:pPr>
              <w:pStyle w:val="Tabele"/>
              <w:widowControl w:val="0"/>
              <w:jc w:val="center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Z.K</w:t>
            </w:r>
          </w:p>
        </w:tc>
        <w:tc>
          <w:tcPr>
            <w:tcW w:w="1321" w:type="dxa"/>
          </w:tcPr>
          <w:p w:rsidR="005D0E4F" w:rsidRPr="009E3F96" w:rsidRDefault="005D0E4F" w:rsidP="005D0E4F">
            <w:pPr>
              <w:pStyle w:val="Tabele"/>
              <w:widowControl w:val="0"/>
              <w:jc w:val="center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Nr.Pas</w:t>
            </w:r>
          </w:p>
        </w:tc>
        <w:tc>
          <w:tcPr>
            <w:tcW w:w="1321" w:type="dxa"/>
          </w:tcPr>
          <w:p w:rsidR="005D0E4F" w:rsidRPr="009E3F96" w:rsidRDefault="005D0E4F" w:rsidP="005D0E4F">
            <w:pPr>
              <w:pStyle w:val="Tabele"/>
              <w:widowControl w:val="0"/>
              <w:jc w:val="center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Sip.arë</w:t>
            </w:r>
          </w:p>
        </w:tc>
        <w:tc>
          <w:tcPr>
            <w:tcW w:w="1321" w:type="dxa"/>
          </w:tcPr>
          <w:p w:rsidR="005D0E4F" w:rsidRPr="009E3F96" w:rsidRDefault="005D0E4F" w:rsidP="005D0E4F">
            <w:pPr>
              <w:pStyle w:val="Tabele"/>
              <w:widowControl w:val="0"/>
              <w:jc w:val="center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Çmimi arë lekë/m</w:t>
            </w:r>
            <w:r w:rsidRPr="009E3F96">
              <w:rPr>
                <w:szCs w:val="22"/>
                <w:vertAlign w:val="superscript"/>
                <w:lang w:val="it-IT"/>
              </w:rPr>
              <w:t>2</w:t>
            </w:r>
          </w:p>
        </w:tc>
        <w:tc>
          <w:tcPr>
            <w:tcW w:w="1319" w:type="dxa"/>
          </w:tcPr>
          <w:p w:rsidR="005D0E4F" w:rsidRPr="009E3F96" w:rsidRDefault="005D0E4F" w:rsidP="005D0E4F">
            <w:pPr>
              <w:pStyle w:val="Tabele"/>
              <w:widowControl w:val="0"/>
              <w:jc w:val="center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Vlera tokës (lekë)</w:t>
            </w:r>
          </w:p>
        </w:tc>
        <w:tc>
          <w:tcPr>
            <w:tcW w:w="1363" w:type="dxa"/>
          </w:tcPr>
          <w:p w:rsidR="005D0E4F" w:rsidRPr="009E3F96" w:rsidRDefault="005D0E4F" w:rsidP="005D0E4F">
            <w:pPr>
              <w:pStyle w:val="Tabele"/>
              <w:widowControl w:val="0"/>
              <w:jc w:val="center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Vlerë totale shpronësimi (lekë)</w:t>
            </w:r>
          </w:p>
        </w:tc>
      </w:tr>
      <w:tr w:rsidR="005D0E4F" w:rsidRPr="009E3F96">
        <w:tc>
          <w:tcPr>
            <w:tcW w:w="1325" w:type="dxa"/>
          </w:tcPr>
          <w:p w:rsidR="005D0E4F" w:rsidRPr="009E3F96" w:rsidRDefault="005D0E4F" w:rsidP="005D0E4F">
            <w:pPr>
              <w:pStyle w:val="Tabele"/>
              <w:widowControl w:val="0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Aleksandër Ndue Ndrejaj</w:t>
            </w:r>
          </w:p>
        </w:tc>
        <w:tc>
          <w:tcPr>
            <w:tcW w:w="1317" w:type="dxa"/>
          </w:tcPr>
          <w:p w:rsidR="005D0E4F" w:rsidRPr="009E3F96" w:rsidRDefault="005D0E4F" w:rsidP="005D0E4F">
            <w:pPr>
              <w:pStyle w:val="Tabele"/>
              <w:widowControl w:val="0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2915</w:t>
            </w:r>
          </w:p>
        </w:tc>
        <w:tc>
          <w:tcPr>
            <w:tcW w:w="1321" w:type="dxa"/>
          </w:tcPr>
          <w:p w:rsidR="005D0E4F" w:rsidRPr="009E3F96" w:rsidRDefault="005D0E4F" w:rsidP="005D0E4F">
            <w:pPr>
              <w:pStyle w:val="Tabele"/>
              <w:widowControl w:val="0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245/2</w:t>
            </w:r>
          </w:p>
        </w:tc>
        <w:tc>
          <w:tcPr>
            <w:tcW w:w="1321" w:type="dxa"/>
          </w:tcPr>
          <w:p w:rsidR="005D0E4F" w:rsidRPr="009E3F96" w:rsidRDefault="005D0E4F" w:rsidP="005D0E4F">
            <w:pPr>
              <w:pStyle w:val="Tabele"/>
              <w:widowControl w:val="0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1546</w:t>
            </w:r>
          </w:p>
        </w:tc>
        <w:tc>
          <w:tcPr>
            <w:tcW w:w="1321" w:type="dxa"/>
          </w:tcPr>
          <w:p w:rsidR="005D0E4F" w:rsidRPr="009E3F96" w:rsidRDefault="005D0E4F" w:rsidP="005D0E4F">
            <w:pPr>
              <w:pStyle w:val="Tabele"/>
              <w:widowControl w:val="0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400 kateg V</w:t>
            </w:r>
          </w:p>
        </w:tc>
        <w:tc>
          <w:tcPr>
            <w:tcW w:w="1319" w:type="dxa"/>
          </w:tcPr>
          <w:p w:rsidR="005D0E4F" w:rsidRPr="009E3F96" w:rsidRDefault="005D0E4F" w:rsidP="005D0E4F">
            <w:pPr>
              <w:pStyle w:val="Tabele"/>
              <w:widowControl w:val="0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618 400</w:t>
            </w:r>
          </w:p>
        </w:tc>
        <w:tc>
          <w:tcPr>
            <w:tcW w:w="1363" w:type="dxa"/>
          </w:tcPr>
          <w:p w:rsidR="005D0E4F" w:rsidRPr="009E3F96" w:rsidRDefault="005D0E4F" w:rsidP="005D0E4F">
            <w:pPr>
              <w:pStyle w:val="Tabele"/>
              <w:widowControl w:val="0"/>
              <w:rPr>
                <w:szCs w:val="22"/>
                <w:lang w:val="it-IT"/>
              </w:rPr>
            </w:pPr>
          </w:p>
        </w:tc>
      </w:tr>
      <w:tr w:rsidR="005D0E4F" w:rsidRPr="009E3F96">
        <w:tc>
          <w:tcPr>
            <w:tcW w:w="1325" w:type="dxa"/>
          </w:tcPr>
          <w:p w:rsidR="005D0E4F" w:rsidRPr="009E3F96" w:rsidRDefault="005D0E4F" w:rsidP="005D0E4F">
            <w:pPr>
              <w:pStyle w:val="Tabele"/>
              <w:widowControl w:val="0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Zef Ndue Lleshaj</w:t>
            </w:r>
          </w:p>
        </w:tc>
        <w:tc>
          <w:tcPr>
            <w:tcW w:w="1317" w:type="dxa"/>
          </w:tcPr>
          <w:p w:rsidR="005D0E4F" w:rsidRPr="009E3F96" w:rsidRDefault="005D0E4F" w:rsidP="005D0E4F">
            <w:pPr>
              <w:pStyle w:val="Tabele"/>
              <w:widowControl w:val="0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3242</w:t>
            </w:r>
          </w:p>
        </w:tc>
        <w:tc>
          <w:tcPr>
            <w:tcW w:w="1321" w:type="dxa"/>
          </w:tcPr>
          <w:p w:rsidR="005D0E4F" w:rsidRPr="009E3F96" w:rsidRDefault="005D0E4F" w:rsidP="005D0E4F">
            <w:pPr>
              <w:pStyle w:val="Tabele"/>
              <w:widowControl w:val="0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196/4</w:t>
            </w:r>
          </w:p>
        </w:tc>
        <w:tc>
          <w:tcPr>
            <w:tcW w:w="1321" w:type="dxa"/>
          </w:tcPr>
          <w:p w:rsidR="005D0E4F" w:rsidRPr="009E3F96" w:rsidRDefault="005D0E4F" w:rsidP="005D0E4F">
            <w:pPr>
              <w:pStyle w:val="Tabele"/>
              <w:widowControl w:val="0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630</w:t>
            </w:r>
          </w:p>
        </w:tc>
        <w:tc>
          <w:tcPr>
            <w:tcW w:w="1321" w:type="dxa"/>
          </w:tcPr>
          <w:p w:rsidR="005D0E4F" w:rsidRPr="009E3F96" w:rsidRDefault="005D0E4F" w:rsidP="005D0E4F">
            <w:pPr>
              <w:pStyle w:val="Tabele"/>
              <w:widowControl w:val="0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900 kateg III</w:t>
            </w:r>
          </w:p>
        </w:tc>
        <w:tc>
          <w:tcPr>
            <w:tcW w:w="1319" w:type="dxa"/>
          </w:tcPr>
          <w:p w:rsidR="005D0E4F" w:rsidRPr="009E3F96" w:rsidRDefault="005D0E4F" w:rsidP="005D0E4F">
            <w:pPr>
              <w:pStyle w:val="Tabele"/>
              <w:widowControl w:val="0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567 000</w:t>
            </w:r>
          </w:p>
        </w:tc>
        <w:tc>
          <w:tcPr>
            <w:tcW w:w="1363" w:type="dxa"/>
          </w:tcPr>
          <w:p w:rsidR="005D0E4F" w:rsidRPr="009E3F96" w:rsidRDefault="005D0E4F" w:rsidP="005D0E4F">
            <w:pPr>
              <w:pStyle w:val="Tabele"/>
              <w:widowControl w:val="0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1 185 400</w:t>
            </w:r>
          </w:p>
        </w:tc>
      </w:tr>
    </w:tbl>
    <w:p w:rsidR="005D0E4F" w:rsidRPr="009E3F96" w:rsidRDefault="005D0E4F" w:rsidP="005D0E4F">
      <w:pPr>
        <w:pStyle w:val="Paragrafi"/>
      </w:pPr>
    </w:p>
    <w:p w:rsidR="005D0E4F" w:rsidRPr="009E3F96" w:rsidRDefault="005D0E4F" w:rsidP="005D0E4F">
      <w:pPr>
        <w:pStyle w:val="Paragrafi"/>
      </w:pPr>
      <w:r w:rsidRPr="009E3F96">
        <w:t>Vlera totale e shpronësimit është 1 185 400 (një milion e njëqind e tetëdhjetë e pesë mijë e katërqind) lekë.</w:t>
      </w:r>
    </w:p>
    <w:p w:rsidR="005D0E4F" w:rsidRPr="009E3F96" w:rsidRDefault="005D0E4F" w:rsidP="005D0E4F">
      <w:pPr>
        <w:pStyle w:val="Paragrafi"/>
      </w:pPr>
    </w:p>
    <w:p w:rsidR="005D0E4F" w:rsidRPr="009E3F96" w:rsidRDefault="005D0E4F" w:rsidP="005D0E4F">
      <w:pPr>
        <w:pStyle w:val="Paragrafi"/>
      </w:pPr>
    </w:p>
    <w:p w:rsidR="005D0E4F" w:rsidRPr="002978C2" w:rsidRDefault="006930CD" w:rsidP="005D0E4F">
      <w:pPr>
        <w:pStyle w:val="Paragrafi"/>
      </w:pPr>
      <w:r w:rsidRPr="009E3F96">
        <w:rPr>
          <w:noProof/>
          <w:lang w:val="en-GB" w:eastAsia="en-GB"/>
        </w:rPr>
        <w:lastRenderedPageBreak/>
        <w:drawing>
          <wp:inline distT="0" distB="0" distL="0" distR="0">
            <wp:extent cx="5699760" cy="75082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760" cy="750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E4F" w:rsidRPr="002978C2" w:rsidRDefault="006930CD" w:rsidP="005D0E4F">
      <w:pPr>
        <w:pStyle w:val="Paragrafi"/>
      </w:pPr>
      <w:r w:rsidRPr="009E3F96">
        <w:rPr>
          <w:noProof/>
          <w:lang w:val="en-GB" w:eastAsia="en-GB"/>
        </w:rPr>
        <w:lastRenderedPageBreak/>
        <w:drawing>
          <wp:inline distT="0" distB="0" distL="0" distR="0">
            <wp:extent cx="5462270" cy="7886700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27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E4F" w:rsidRPr="009E3F96" w:rsidRDefault="005D0E4F" w:rsidP="005D0E4F">
      <w:pPr>
        <w:pStyle w:val="Paragrafi"/>
        <w:rPr>
          <w:szCs w:val="22"/>
          <w:lang w:val="en-GB"/>
        </w:rPr>
      </w:pPr>
    </w:p>
    <w:p w:rsidR="005D0E4F" w:rsidRPr="009E3F96" w:rsidRDefault="005D0E4F" w:rsidP="005D0E4F">
      <w:pPr>
        <w:pStyle w:val="Paragrafi"/>
        <w:rPr>
          <w:szCs w:val="22"/>
          <w:lang w:val="en-GB"/>
        </w:rPr>
      </w:pPr>
    </w:p>
    <w:p w:rsidR="005D0E4F" w:rsidRPr="009E3F96" w:rsidRDefault="005D0E4F" w:rsidP="005D0E4F">
      <w:pPr>
        <w:pStyle w:val="Paragrafi"/>
        <w:rPr>
          <w:szCs w:val="22"/>
          <w:lang w:val="en-GB"/>
        </w:rPr>
      </w:pPr>
    </w:p>
    <w:p w:rsidR="005D0E4F" w:rsidRPr="009E3F96" w:rsidRDefault="005D0E4F" w:rsidP="005D0E4F">
      <w:pPr>
        <w:pStyle w:val="Paragrafi"/>
        <w:rPr>
          <w:szCs w:val="22"/>
          <w:lang w:val="en-GB"/>
        </w:rPr>
      </w:pPr>
    </w:p>
    <w:p w:rsidR="000178C2" w:rsidRPr="00C84B66" w:rsidRDefault="000178C2" w:rsidP="005D0E4F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D0E4F"/>
    <w:rsid w:val="000178C2"/>
    <w:rsid w:val="005D0E4F"/>
    <w:rsid w:val="006930C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733CC6-A6C9-4D1A-91BA-67064ACEF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E4F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D0E4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5D0E4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D0E4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5D0E4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D0E4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abele">
    <w:name w:val="Tabele"/>
    <w:rsid w:val="005D0E4F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D0E4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D0E4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5D0E4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D0E4F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5D0E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ritetiEmerChar">
    <w:name w:val="Autoriteti_Emer Char"/>
    <w:basedOn w:val="DefaultParagraphFont"/>
    <w:link w:val="AutoritetiEmer"/>
    <w:rsid w:val="005D0E4F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D0E4F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2019-03-16T15:03:00Z</dcterms:created>
  <dcterms:modified xsi:type="dcterms:W3CDTF">2019-03-16T15:03:00Z</dcterms:modified>
</cp:coreProperties>
</file>