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63C" w:rsidRPr="00D957B4" w:rsidRDefault="004A263C" w:rsidP="004A263C">
      <w:pPr>
        <w:pStyle w:val="Akti"/>
      </w:pPr>
      <w:bookmarkStart w:id="0" w:name="_GoBack"/>
      <w:bookmarkEnd w:id="0"/>
      <w:r w:rsidRPr="00D957B4">
        <w:t xml:space="preserve">Vendim </w:t>
      </w:r>
    </w:p>
    <w:p w:rsidR="004A263C" w:rsidRPr="00D957B4" w:rsidRDefault="004A263C" w:rsidP="004A263C">
      <w:pPr>
        <w:pStyle w:val="NumriData"/>
        <w:keepNext w:val="0"/>
      </w:pPr>
      <w:r w:rsidRPr="00D957B4">
        <w:t>Nr.506,</w:t>
      </w:r>
      <w:r>
        <w:t xml:space="preserve"> </w:t>
      </w:r>
      <w:r w:rsidRPr="00D957B4">
        <w:t>datë 1.8.2007</w:t>
      </w:r>
    </w:p>
    <w:p w:rsidR="004A263C" w:rsidRPr="00D957B4" w:rsidRDefault="004A263C" w:rsidP="004A263C">
      <w:pPr>
        <w:pStyle w:val="Paragrafi"/>
        <w:rPr>
          <w:lang w:val="en-GB"/>
        </w:rPr>
      </w:pPr>
    </w:p>
    <w:p w:rsidR="004A263C" w:rsidRPr="00D957B4" w:rsidRDefault="004A263C" w:rsidP="004A263C">
      <w:pPr>
        <w:pStyle w:val="Titulli"/>
        <w:keepNext w:val="0"/>
      </w:pPr>
      <w:r w:rsidRPr="00D957B4">
        <w:t>Për procedurat e regjistrimit dhe të publikimit në Qendrën kombëtare të regjistrimit</w:t>
      </w:r>
    </w:p>
    <w:p w:rsidR="004A263C" w:rsidRPr="00D957B4" w:rsidRDefault="004A263C" w:rsidP="004A263C">
      <w:pPr>
        <w:pStyle w:val="Paragrafi"/>
        <w:rPr>
          <w:lang w:val="en-GB"/>
        </w:rPr>
      </w:pPr>
    </w:p>
    <w:p w:rsidR="004A263C" w:rsidRPr="00D957B4" w:rsidRDefault="004A263C" w:rsidP="004A263C">
      <w:pPr>
        <w:pStyle w:val="Paragrafi"/>
        <w:rPr>
          <w:lang w:val="en-GB"/>
        </w:rPr>
      </w:pPr>
      <w:r w:rsidRPr="00D957B4">
        <w:rPr>
          <w:lang w:val="en-GB"/>
        </w:rPr>
        <w:t>Në mbështetje të nenit 100 të Kushtetutës d</w:t>
      </w:r>
      <w:r>
        <w:rPr>
          <w:lang w:val="en-GB"/>
        </w:rPr>
        <w:t>he të nenit 76</w:t>
      </w:r>
      <w:r w:rsidRPr="00D957B4">
        <w:rPr>
          <w:lang w:val="en-GB"/>
        </w:rPr>
        <w:t xml:space="preserve"> të ligjit nr.9723, datë 3.5.2007 “Për Qendrën Kombëtare të Regjistrimit”, me prop</w:t>
      </w:r>
      <w:r>
        <w:rPr>
          <w:lang w:val="en-GB"/>
        </w:rPr>
        <w:t>o</w:t>
      </w:r>
      <w:r w:rsidRPr="00D957B4">
        <w:rPr>
          <w:lang w:val="en-GB"/>
        </w:rPr>
        <w:t>zimin e Ministrit të Ekonomisë, Tregtisë dhe Energjetikës, Këshilli i Ministrave</w:t>
      </w:r>
    </w:p>
    <w:p w:rsidR="004A263C" w:rsidRPr="00D957B4" w:rsidRDefault="004A263C" w:rsidP="004A263C">
      <w:pPr>
        <w:pStyle w:val="Paragrafi"/>
        <w:rPr>
          <w:lang w:val="en-GB"/>
        </w:rPr>
      </w:pPr>
    </w:p>
    <w:p w:rsidR="004A263C" w:rsidRPr="00D957B4" w:rsidRDefault="004A263C" w:rsidP="004A263C">
      <w:pPr>
        <w:pStyle w:val="VENDOSI"/>
        <w:keepNext w:val="0"/>
      </w:pPr>
      <w:r w:rsidRPr="00D957B4">
        <w:t>Vendosi:</w:t>
      </w:r>
    </w:p>
    <w:p w:rsidR="004A263C" w:rsidRPr="00D957B4" w:rsidRDefault="004A263C" w:rsidP="004A263C">
      <w:pPr>
        <w:pStyle w:val="Paragrafi"/>
        <w:rPr>
          <w:lang w:val="en-GB"/>
        </w:rPr>
      </w:pPr>
    </w:p>
    <w:p w:rsidR="004A263C" w:rsidRPr="00D957B4" w:rsidRDefault="004A263C" w:rsidP="004A263C">
      <w:pPr>
        <w:pStyle w:val="Paragrafi"/>
        <w:rPr>
          <w:lang w:val="en-GB"/>
        </w:rPr>
      </w:pPr>
      <w:r w:rsidRPr="00D957B4">
        <w:rPr>
          <w:lang w:val="en-GB"/>
        </w:rPr>
        <w:t>1.</w:t>
      </w:r>
      <w:r>
        <w:rPr>
          <w:lang w:val="en-GB"/>
        </w:rPr>
        <w:t xml:space="preserve"> </w:t>
      </w:r>
      <w:r w:rsidRPr="00D957B4">
        <w:rPr>
          <w:lang w:val="en-GB"/>
        </w:rPr>
        <w:t>Termat e përdorura në këtë vendim kanë të njëjtin kuptim me ato të përcaktuara në</w:t>
      </w:r>
      <w:r>
        <w:rPr>
          <w:lang w:val="en-GB"/>
        </w:rPr>
        <w:t xml:space="preserve"> nenin 2</w:t>
      </w:r>
      <w:r w:rsidRPr="00D957B4">
        <w:rPr>
          <w:lang w:val="en-GB"/>
        </w:rPr>
        <w:t xml:space="preserve"> të ligjit nr.9723, datë 3.5.2007 “Për Qendrën Kombëtare të Regjistrimit</w:t>
      </w:r>
      <w:r>
        <w:rPr>
          <w:lang w:val="en-GB"/>
        </w:rPr>
        <w:t>.”</w:t>
      </w:r>
      <w:r w:rsidRPr="00D957B4">
        <w:rPr>
          <w:lang w:val="en-GB"/>
        </w:rPr>
        <w:t>.</w:t>
      </w:r>
    </w:p>
    <w:p w:rsidR="004A263C" w:rsidRPr="00D957B4" w:rsidRDefault="004A263C" w:rsidP="004A263C">
      <w:pPr>
        <w:pStyle w:val="Paragrafi"/>
        <w:rPr>
          <w:lang w:val="en-GB"/>
        </w:rPr>
      </w:pPr>
      <w:r w:rsidRPr="00D957B4">
        <w:rPr>
          <w:lang w:val="en-GB"/>
        </w:rPr>
        <w:t>2.</w:t>
      </w:r>
      <w:r>
        <w:rPr>
          <w:lang w:val="en-GB"/>
        </w:rPr>
        <w:t xml:space="preserve"> </w:t>
      </w:r>
      <w:r w:rsidRPr="00D957B4">
        <w:rPr>
          <w:lang w:val="en-GB"/>
        </w:rPr>
        <w:t>Me termin “ligj” në këtë vendim do t’i referohemi ligjit nr.9723, datë 3.5.2007 “Për Qendrën Kombëtare të Regjistrimit”.</w:t>
      </w:r>
    </w:p>
    <w:p w:rsidR="004A263C" w:rsidRPr="00D957B4" w:rsidRDefault="004A263C" w:rsidP="004A263C">
      <w:pPr>
        <w:pStyle w:val="Paragrafi"/>
        <w:rPr>
          <w:lang w:val="en-GB"/>
        </w:rPr>
      </w:pPr>
      <w:r w:rsidRPr="00D957B4">
        <w:rPr>
          <w:lang w:val="en-GB"/>
        </w:rPr>
        <w:t>3.</w:t>
      </w:r>
      <w:r>
        <w:rPr>
          <w:lang w:val="en-GB"/>
        </w:rPr>
        <w:t xml:space="preserve"> </w:t>
      </w:r>
      <w:r w:rsidRPr="00D957B4">
        <w:rPr>
          <w:lang w:val="en-GB"/>
        </w:rPr>
        <w:t>Aplikimi pë</w:t>
      </w:r>
      <w:r>
        <w:rPr>
          <w:lang w:val="en-GB"/>
        </w:rPr>
        <w:t>r regjistrim</w:t>
      </w:r>
      <w:r w:rsidRPr="00D957B4">
        <w:rPr>
          <w:lang w:val="en-GB"/>
        </w:rPr>
        <w:t xml:space="preserve"> bëhet në sportelin e Qendrës Kombë</w:t>
      </w:r>
      <w:r>
        <w:rPr>
          <w:lang w:val="en-GB"/>
        </w:rPr>
        <w:t>tare të Regjistrimit, në qendër</w:t>
      </w:r>
      <w:r w:rsidRPr="00D957B4">
        <w:rPr>
          <w:lang w:val="en-GB"/>
        </w:rPr>
        <w:t xml:space="preserve"> ose në çdo sportel shërbimi, në bashki apo komunë, pavarësisht nga selia a vendi i ushtrimit të veprimtarisë nga subjekti, që kërkon regjistrimin.</w:t>
      </w:r>
    </w:p>
    <w:p w:rsidR="004A263C" w:rsidRPr="00D957B4" w:rsidRDefault="004A263C" w:rsidP="004A263C">
      <w:pPr>
        <w:pStyle w:val="Paragrafi"/>
        <w:rPr>
          <w:lang w:val="en-GB"/>
        </w:rPr>
      </w:pPr>
      <w:r w:rsidRPr="00D957B4">
        <w:rPr>
          <w:lang w:val="en-GB"/>
        </w:rPr>
        <w:t>4.</w:t>
      </w:r>
      <w:r>
        <w:rPr>
          <w:lang w:val="en-GB"/>
        </w:rPr>
        <w:t xml:space="preserve"> </w:t>
      </w:r>
      <w:r w:rsidRPr="00D957B4">
        <w:rPr>
          <w:lang w:val="en-GB"/>
        </w:rPr>
        <w:t>Qendra Kombëtare e Regjistrimit bën publike, me mjete të përshtatshme, listën e bashkive dhe të komunave, pranë të cilave funksionojnë sportelet e shërbimit.</w:t>
      </w:r>
    </w:p>
    <w:p w:rsidR="004A263C" w:rsidRPr="00D957B4" w:rsidRDefault="004A263C" w:rsidP="004A263C">
      <w:pPr>
        <w:pStyle w:val="Paragrafi"/>
        <w:rPr>
          <w:lang w:val="en-GB"/>
        </w:rPr>
      </w:pPr>
      <w:r w:rsidRPr="00D957B4">
        <w:rPr>
          <w:lang w:val="en-GB"/>
        </w:rPr>
        <w:t>5.</w:t>
      </w:r>
      <w:r>
        <w:rPr>
          <w:lang w:val="en-GB"/>
        </w:rPr>
        <w:t xml:space="preserve"> </w:t>
      </w:r>
      <w:r w:rsidRPr="00D957B4">
        <w:rPr>
          <w:lang w:val="en-GB"/>
        </w:rPr>
        <w:t>Aplikantët deklarojnë, nëpërmjet formularit të aplikimit, të dhënat e kërkuara nga ligji për kryerjen e regjistrimit tregtar dhe paraqesin dokumentacionin shoqërues përkatës.</w:t>
      </w:r>
    </w:p>
    <w:p w:rsidR="004A263C" w:rsidRPr="00D957B4" w:rsidRDefault="004A263C" w:rsidP="004A263C">
      <w:pPr>
        <w:pStyle w:val="Paragrafi"/>
        <w:rPr>
          <w:lang w:val="en-GB"/>
        </w:rPr>
      </w:pPr>
      <w:r w:rsidRPr="00D957B4">
        <w:rPr>
          <w:lang w:val="en-GB"/>
        </w:rPr>
        <w:t>6.</w:t>
      </w:r>
      <w:r>
        <w:rPr>
          <w:lang w:val="en-GB"/>
        </w:rPr>
        <w:t xml:space="preserve"> </w:t>
      </w:r>
      <w:r w:rsidRPr="00D957B4">
        <w:rPr>
          <w:lang w:val="en-GB"/>
        </w:rPr>
        <w:t>Aplikantët, që kryejnë regjistrimin fillestar në regjistrin tregtar, sipas ligjit, deklarojnë në formularët e regjistrimit fillestar edhe të dhënat e detyrueshme, sipas dispozitave, që rregullojnë fushën tatimore, statistikore, të sigurimeve shoqërore e shëndetësore e të inspektimit të punës.</w:t>
      </w:r>
    </w:p>
    <w:p w:rsidR="004A263C" w:rsidRPr="00D957B4" w:rsidRDefault="004A263C" w:rsidP="004A263C">
      <w:pPr>
        <w:pStyle w:val="Paragrafi"/>
        <w:rPr>
          <w:lang w:val="en-GB"/>
        </w:rPr>
      </w:pPr>
      <w:r w:rsidRPr="00D957B4">
        <w:rPr>
          <w:lang w:val="en-GB"/>
        </w:rPr>
        <w:t>7.</w:t>
      </w:r>
      <w:r>
        <w:rPr>
          <w:lang w:val="en-GB"/>
        </w:rPr>
        <w:t xml:space="preserve"> </w:t>
      </w:r>
      <w:r w:rsidRPr="00D957B4">
        <w:rPr>
          <w:lang w:val="en-GB"/>
        </w:rPr>
        <w:t>Këto deklarime kryhen në mbështetje të kërkesave të përcaktuara në formularët e miratuar.</w:t>
      </w:r>
    </w:p>
    <w:p w:rsidR="004A263C" w:rsidRPr="00D957B4" w:rsidRDefault="004A263C" w:rsidP="004A263C">
      <w:pPr>
        <w:pStyle w:val="Paragrafi"/>
        <w:rPr>
          <w:lang w:val="en-GB"/>
        </w:rPr>
      </w:pPr>
      <w:r w:rsidRPr="00D957B4">
        <w:rPr>
          <w:lang w:val="en-GB"/>
        </w:rPr>
        <w:t>8.</w:t>
      </w:r>
      <w:r>
        <w:rPr>
          <w:lang w:val="en-GB"/>
        </w:rPr>
        <w:t xml:space="preserve"> </w:t>
      </w:r>
      <w:r w:rsidRPr="00D957B4">
        <w:rPr>
          <w:lang w:val="en-GB"/>
        </w:rPr>
        <w:t>Aplikimi pë</w:t>
      </w:r>
      <w:r>
        <w:rPr>
          <w:lang w:val="en-GB"/>
        </w:rPr>
        <w:t>r regjistrim</w:t>
      </w:r>
      <w:r w:rsidRPr="00D957B4">
        <w:rPr>
          <w:lang w:val="en-GB"/>
        </w:rPr>
        <w:t xml:space="preserve"> bëhet nga personat e autorizuar, sipas përcaktimit të</w:t>
      </w:r>
      <w:r>
        <w:rPr>
          <w:lang w:val="en-GB"/>
        </w:rPr>
        <w:t xml:space="preserve"> nenit 26</w:t>
      </w:r>
      <w:r w:rsidRPr="00D957B4">
        <w:rPr>
          <w:lang w:val="en-GB"/>
        </w:rPr>
        <w:t xml:space="preserve"> të ligjit, duke deklaruar të dhënat nëpërmjet paraqitjes së aplikimit përkatës, të plotësuar me të gjitha fushat e detyrueshme, si dhe duke paraqitur dokumentet shoqëruese, të kërkuara për llojin e regjistrimit që kërkohet të kryhet.</w:t>
      </w:r>
    </w:p>
    <w:p w:rsidR="004A263C" w:rsidRPr="00D957B4" w:rsidRDefault="004A263C" w:rsidP="004A263C">
      <w:pPr>
        <w:pStyle w:val="Paragrafi"/>
        <w:rPr>
          <w:lang w:val="en-GB"/>
        </w:rPr>
      </w:pPr>
      <w:r w:rsidRPr="00D957B4">
        <w:rPr>
          <w:lang w:val="en-GB"/>
        </w:rPr>
        <w:t>9.</w:t>
      </w:r>
      <w:r>
        <w:rPr>
          <w:lang w:val="en-GB"/>
        </w:rPr>
        <w:t xml:space="preserve"> </w:t>
      </w:r>
      <w:r w:rsidRPr="00D957B4">
        <w:rPr>
          <w:lang w:val="en-GB"/>
        </w:rPr>
        <w:t>Personi, që paraqet aplikimin në sportel, duhet të vërtetojë identitetin me një dokument të vlefshëm identifikimi, në përputhje me legjislacionin në fuqi.</w:t>
      </w:r>
    </w:p>
    <w:p w:rsidR="004A263C" w:rsidRPr="00D957B4" w:rsidRDefault="004A263C" w:rsidP="004A263C">
      <w:pPr>
        <w:pStyle w:val="Paragrafi"/>
        <w:rPr>
          <w:lang w:val="en-GB"/>
        </w:rPr>
      </w:pPr>
      <w:r w:rsidRPr="00D957B4">
        <w:rPr>
          <w:lang w:val="en-GB"/>
        </w:rPr>
        <w:t>10.</w:t>
      </w:r>
      <w:r>
        <w:rPr>
          <w:lang w:val="en-GB"/>
        </w:rPr>
        <w:t xml:space="preserve"> </w:t>
      </w:r>
      <w:r w:rsidRPr="00D957B4">
        <w:rPr>
          <w:lang w:val="en-GB"/>
        </w:rPr>
        <w:t>Aplikuesi dorëzon aplikimin e plotësuar me shkrim dore, te nëpunësi i sportelit ose në mënyrë elektronike, nëpërmjet faqes në internet të QKR-së.</w:t>
      </w:r>
    </w:p>
    <w:p w:rsidR="004A263C" w:rsidRPr="00D957B4" w:rsidRDefault="004A263C" w:rsidP="004A263C">
      <w:pPr>
        <w:pStyle w:val="Paragrafi"/>
        <w:rPr>
          <w:lang w:val="en-GB"/>
        </w:rPr>
      </w:pPr>
      <w:r w:rsidRPr="00D957B4">
        <w:rPr>
          <w:lang w:val="en-GB"/>
        </w:rPr>
        <w:t>11.</w:t>
      </w:r>
      <w:r>
        <w:rPr>
          <w:lang w:val="en-GB"/>
        </w:rPr>
        <w:t xml:space="preserve"> </w:t>
      </w:r>
      <w:r w:rsidRPr="00D957B4">
        <w:rPr>
          <w:lang w:val="en-GB"/>
        </w:rPr>
        <w:t>Nëpunësi i sportelit i kërkon personit, që paraqet për aplikim, të dhëna për regjistrimn, që kërkon të kryejë dhe hap dosjen elektronike përkatëse, e cila mban një numër për çdo dosje (ose aplikim), të dhënë automatikisht nga sistemi i informatizuar i QKR-së.</w:t>
      </w:r>
    </w:p>
    <w:p w:rsidR="004A263C" w:rsidRPr="00D957B4" w:rsidRDefault="004A263C" w:rsidP="004A263C">
      <w:pPr>
        <w:pStyle w:val="Paragrafi"/>
        <w:rPr>
          <w:lang w:val="en-GB"/>
        </w:rPr>
      </w:pPr>
      <w:r w:rsidRPr="00D957B4">
        <w:rPr>
          <w:lang w:val="en-GB"/>
        </w:rPr>
        <w:t>12.</w:t>
      </w:r>
      <w:r>
        <w:rPr>
          <w:lang w:val="en-GB"/>
        </w:rPr>
        <w:t xml:space="preserve"> </w:t>
      </w:r>
      <w:r w:rsidRPr="00D957B4">
        <w:rPr>
          <w:lang w:val="en-GB"/>
        </w:rPr>
        <w:t>Personi, që paraqitet për aplikim, bën pagesën e tarifës përkatëse, sipas llojit të regjistrimit.</w:t>
      </w:r>
    </w:p>
    <w:p w:rsidR="004A263C" w:rsidRPr="00D957B4" w:rsidRDefault="004A263C" w:rsidP="004A263C">
      <w:pPr>
        <w:pStyle w:val="Paragrafi"/>
        <w:rPr>
          <w:lang w:val="en-GB"/>
        </w:rPr>
      </w:pPr>
      <w:r w:rsidRPr="00D957B4">
        <w:rPr>
          <w:lang w:val="en-GB"/>
        </w:rPr>
        <w:t>13.</w:t>
      </w:r>
      <w:r>
        <w:rPr>
          <w:lang w:val="en-GB"/>
        </w:rPr>
        <w:t xml:space="preserve"> </w:t>
      </w:r>
      <w:r w:rsidRPr="00D957B4">
        <w:rPr>
          <w:lang w:val="en-GB"/>
        </w:rPr>
        <w:t>Pasi janë kryer veprimet e mësipërme, nëpunësi i sportelit asiston personin, që paraqitet për aplikim, në plotësimin e formularit të miratuar, në të gjitha rubrikat e detyrueshme të tij, sipas regjistrimit, që kërkohet të kryhet, dhe llojit të subjektit, që kryen regjistrimin, hedh të dhënat në formularët elektronikë të sistemit të informatizuar, si dhe kërkon paraqitjen e dokumentacionit shoqërues përkatës.</w:t>
      </w:r>
    </w:p>
    <w:p w:rsidR="004A263C" w:rsidRDefault="004A263C" w:rsidP="004A263C">
      <w:pPr>
        <w:pStyle w:val="Paragrafi"/>
        <w:rPr>
          <w:lang w:val="en-GB"/>
        </w:rPr>
      </w:pPr>
      <w:r w:rsidRPr="00D957B4">
        <w:rPr>
          <w:lang w:val="en-GB"/>
        </w:rPr>
        <w:t>14.</w:t>
      </w:r>
      <w:r>
        <w:rPr>
          <w:lang w:val="en-GB"/>
        </w:rPr>
        <w:t xml:space="preserve"> </w:t>
      </w:r>
      <w:r w:rsidRPr="00D957B4">
        <w:rPr>
          <w:lang w:val="en-GB"/>
        </w:rPr>
        <w:t>Nëpunësi i sportelit, në çdo rast vazhdon asistimin e personit, që paraqitet për aplikim, në plotësimin e të gjitha rubrikave të detyrueshme të formularit edhe kur të dhënat, që duhet të deklarohen, në një apo më shumë rubrika, mungojnë, janë të pasakta apo nuk vërtetohen nga dokumentet shoqëruese të paraqitura.</w:t>
      </w:r>
    </w:p>
    <w:p w:rsidR="004A263C" w:rsidRDefault="004A263C" w:rsidP="004A263C">
      <w:pPr>
        <w:pStyle w:val="Paragrafi"/>
        <w:rPr>
          <w:lang w:val="en-GB"/>
        </w:rPr>
      </w:pPr>
    </w:p>
    <w:p w:rsidR="004A263C" w:rsidRDefault="004A263C" w:rsidP="004A263C">
      <w:pPr>
        <w:pStyle w:val="Paragrafi"/>
        <w:rPr>
          <w:lang w:val="en-GB"/>
        </w:rPr>
      </w:pPr>
    </w:p>
    <w:p w:rsidR="004A263C" w:rsidRPr="00D957B4" w:rsidRDefault="004A263C" w:rsidP="004A263C">
      <w:pPr>
        <w:pStyle w:val="Paragrafi"/>
        <w:rPr>
          <w:lang w:val="en-GB"/>
        </w:rPr>
      </w:pPr>
    </w:p>
    <w:p w:rsidR="004A263C" w:rsidRDefault="004A263C" w:rsidP="004A263C">
      <w:pPr>
        <w:pStyle w:val="Paragrafi"/>
        <w:rPr>
          <w:lang w:val="it-IT"/>
        </w:rPr>
      </w:pPr>
      <w:r w:rsidRPr="00D957B4">
        <w:rPr>
          <w:lang w:val="en-GB"/>
        </w:rPr>
        <w:t>15.</w:t>
      </w:r>
      <w:r>
        <w:rPr>
          <w:lang w:val="en-GB"/>
        </w:rPr>
        <w:t xml:space="preserve"> </w:t>
      </w:r>
      <w:r w:rsidRPr="00D957B4">
        <w:rPr>
          <w:lang w:val="en-GB"/>
        </w:rPr>
        <w:t>Formulari i plotësuar nënshkruhet nga personi, që aplikon pë</w:t>
      </w:r>
      <w:r>
        <w:rPr>
          <w:lang w:val="en-GB"/>
        </w:rPr>
        <w:t>r regjistrim</w:t>
      </w:r>
      <w:r w:rsidRPr="00D957B4">
        <w:rPr>
          <w:lang w:val="en-GB"/>
        </w:rPr>
        <w:t>, dhe i dorëzohet nëpunësit të</w:t>
      </w:r>
      <w:r>
        <w:rPr>
          <w:lang w:val="en-GB"/>
        </w:rPr>
        <w:t xml:space="preserve"> sportelit, së</w:t>
      </w:r>
      <w:r w:rsidRPr="00D957B4">
        <w:rPr>
          <w:lang w:val="en-GB"/>
        </w:rPr>
        <w:t xml:space="preserve"> bash</w:t>
      </w:r>
      <w:r>
        <w:rPr>
          <w:lang w:val="en-GB"/>
        </w:rPr>
        <w:t>ku</w:t>
      </w:r>
      <w:r w:rsidRPr="00D957B4">
        <w:rPr>
          <w:lang w:val="en-GB"/>
        </w:rPr>
        <w:t xml:space="preserve"> me dokumentet e sipërpërmendura. </w:t>
      </w:r>
      <w:r w:rsidRPr="007864EB">
        <w:rPr>
          <w:lang w:val="it-IT"/>
        </w:rPr>
        <w:t>N</w:t>
      </w:r>
      <w:r>
        <w:rPr>
          <w:lang w:val="it-IT"/>
        </w:rPr>
        <w:t>ë</w:t>
      </w:r>
      <w:r w:rsidRPr="007864EB">
        <w:rPr>
          <w:lang w:val="it-IT"/>
        </w:rPr>
        <w:t>pun</w:t>
      </w:r>
      <w:r>
        <w:rPr>
          <w:lang w:val="it-IT"/>
        </w:rPr>
        <w:t>ë</w:t>
      </w:r>
      <w:r w:rsidRPr="007864EB">
        <w:rPr>
          <w:lang w:val="it-IT"/>
        </w:rPr>
        <w:t>si i sportelit plot</w:t>
      </w:r>
      <w:r>
        <w:rPr>
          <w:lang w:val="it-IT"/>
        </w:rPr>
        <w:t>ë</w:t>
      </w:r>
      <w:r w:rsidRPr="007864EB">
        <w:rPr>
          <w:lang w:val="it-IT"/>
        </w:rPr>
        <w:t>son rubrik</w:t>
      </w:r>
      <w:r>
        <w:rPr>
          <w:lang w:val="it-IT"/>
        </w:rPr>
        <w:t>ë</w:t>
      </w:r>
      <w:r w:rsidRPr="007864EB">
        <w:rPr>
          <w:lang w:val="it-IT"/>
        </w:rPr>
        <w:t>n e formularit t</w:t>
      </w:r>
      <w:r>
        <w:rPr>
          <w:lang w:val="it-IT"/>
        </w:rPr>
        <w:t>ë</w:t>
      </w:r>
      <w:r w:rsidRPr="007864EB">
        <w:rPr>
          <w:lang w:val="it-IT"/>
        </w:rPr>
        <w:t xml:space="preserve"> rezervuar p</w:t>
      </w:r>
      <w:r>
        <w:rPr>
          <w:lang w:val="it-IT"/>
        </w:rPr>
        <w:t>ë</w:t>
      </w:r>
      <w:r w:rsidRPr="007864EB">
        <w:rPr>
          <w:lang w:val="it-IT"/>
        </w:rPr>
        <w:t>r p</w:t>
      </w:r>
      <w:r>
        <w:rPr>
          <w:lang w:val="it-IT"/>
        </w:rPr>
        <w:t>ë</w:t>
      </w:r>
      <w:r w:rsidRPr="007864EB">
        <w:rPr>
          <w:lang w:val="it-IT"/>
        </w:rPr>
        <w:t>rdorim zyrtar.</w:t>
      </w:r>
    </w:p>
    <w:p w:rsidR="004A263C" w:rsidRDefault="004A263C" w:rsidP="004A263C">
      <w:pPr>
        <w:pStyle w:val="Paragrafi"/>
        <w:rPr>
          <w:lang w:val="it-IT"/>
        </w:rPr>
      </w:pPr>
      <w:r>
        <w:rPr>
          <w:lang w:val="it-IT"/>
        </w:rPr>
        <w:lastRenderedPageBreak/>
        <w:t>16. Të gjitha dokumentet, përfshirë kopjen e dokumenteve të identifikimit dhe formularin e aplikimit, vulosen dhe nënshkruhen nga nëpunësi i sportelit, përkatësisht, në faqe të parë dhe në rubrikën përkatëse të formularit të aplikimit. Më pas merret pamja e tyre elektronike.</w:t>
      </w:r>
    </w:p>
    <w:p w:rsidR="004A263C" w:rsidRDefault="004A263C" w:rsidP="004A263C">
      <w:pPr>
        <w:pStyle w:val="Paragrafi"/>
        <w:rPr>
          <w:lang w:val="it-IT"/>
        </w:rPr>
      </w:pPr>
      <w:r>
        <w:rPr>
          <w:lang w:val="it-IT"/>
        </w:rPr>
        <w:t>17. Formularët e aplikimit, në format shkresor, si dhe dokumentet shoqëruese, të paraqitura po në format shkresor, nga personi, që aplikon për regjistrim, ruhen pranë çdo sporteli të shërbimit. Titullari i QKR-së tërheq periodikisht nga çdo sportel shërbimi dokumentet shoqëruese në format shkresor dhe i arkivon ato në qendër, sipas dispozitave ligjore për ruajtjen dhe arkivimin e dokumenteve zyrtare.</w:t>
      </w:r>
    </w:p>
    <w:p w:rsidR="004A263C" w:rsidRDefault="004A263C" w:rsidP="004A263C">
      <w:pPr>
        <w:pStyle w:val="Paragrafi"/>
        <w:rPr>
          <w:lang w:val="it-IT"/>
        </w:rPr>
      </w:pPr>
      <w:r>
        <w:rPr>
          <w:lang w:val="it-IT"/>
        </w:rPr>
        <w:t>18. Pasi kryen veprimet e parashikuara në pikat e mësipërme dhe verifikimet sipas pikës 1 të nenit 54 të ligjit, nëpunësi i sportelit:</w:t>
      </w:r>
    </w:p>
    <w:p w:rsidR="004A263C" w:rsidRDefault="004A263C" w:rsidP="004A263C">
      <w:pPr>
        <w:pStyle w:val="Paragrafi"/>
        <w:rPr>
          <w:lang w:val="it-IT"/>
        </w:rPr>
      </w:pPr>
      <w:r>
        <w:rPr>
          <w:lang w:val="it-IT"/>
        </w:rPr>
        <w:t>a) nëse aplikimi është në përputhje me kërkesat e ligjit, i dorëzon personit, që aplikon konfirmimin përkatës, për kryerjen e aplikimit, të lëshuar nga sistemi i informatizuar, sipas formatit të miratuar.</w:t>
      </w:r>
    </w:p>
    <w:p w:rsidR="004A263C" w:rsidRDefault="004A263C" w:rsidP="004A263C">
      <w:pPr>
        <w:pStyle w:val="Paragrafi"/>
        <w:rPr>
          <w:lang w:val="it-IT"/>
        </w:rPr>
      </w:pPr>
      <w:r>
        <w:rPr>
          <w:lang w:val="it-IT"/>
        </w:rPr>
        <w:t xml:space="preserve">b) nëse vëren mangësi në aplikim apo në dokumentet shoqëruese, i dorëzon personit që aplikon konfirmimin përkatës, të lëshuar nga sistemi i informatizuar, sipas formatit të miratuar, i cili përmban shkaqet e sakta, që mund të pezullojnë regjistrimin, dhe e njofton se QKR-ja do të përgjigjet brenda afatit prej 1 dite nga paraqitja e aplikimit. </w:t>
      </w:r>
    </w:p>
    <w:p w:rsidR="004A263C" w:rsidRPr="000B79DA" w:rsidRDefault="004A263C" w:rsidP="004A263C">
      <w:pPr>
        <w:pStyle w:val="Paragrafi"/>
        <w:rPr>
          <w:lang w:val="it-IT"/>
        </w:rPr>
      </w:pPr>
      <w:r>
        <w:rPr>
          <w:lang w:val="it-IT"/>
        </w:rPr>
        <w:t xml:space="preserve">19. Me lëshimin e konfirmimeve sipas pikave “a” e “b”, më sipër nëpunësi i sportelit ua kalon, për shqyrtim e vendimmarrje nëpunësve të autorizuar aplikimin dhe dokumentet shoqëruese, në format elektronik. Kur vëllimi i dokumenteve shoqëruese është i tillë, sa mund të krijojë vonesa në punën në sportel, atëherë nëpunësi i sportelit dërgon menjëherë, për shqyrtim e vendimmarrje, formularin e aplikimit dhe dokumentet e identifikimit, në format elektronik. </w:t>
      </w:r>
      <w:r w:rsidRPr="000B79DA">
        <w:rPr>
          <w:lang w:val="it-IT"/>
        </w:rPr>
        <w:t>Pjes</w:t>
      </w:r>
      <w:r>
        <w:rPr>
          <w:lang w:val="it-IT"/>
        </w:rPr>
        <w:t>a</w:t>
      </w:r>
      <w:r w:rsidRPr="000B79DA">
        <w:rPr>
          <w:lang w:val="it-IT"/>
        </w:rPr>
        <w:t xml:space="preserve"> e mbetur e d</w:t>
      </w:r>
      <w:r>
        <w:rPr>
          <w:lang w:val="it-IT"/>
        </w:rPr>
        <w:t>okument</w:t>
      </w:r>
      <w:r w:rsidRPr="000B79DA">
        <w:rPr>
          <w:lang w:val="it-IT"/>
        </w:rPr>
        <w:t>eve shoq</w:t>
      </w:r>
      <w:r>
        <w:rPr>
          <w:lang w:val="it-IT"/>
        </w:rPr>
        <w:t>ë</w:t>
      </w:r>
      <w:r w:rsidRPr="000B79DA">
        <w:rPr>
          <w:lang w:val="it-IT"/>
        </w:rPr>
        <w:t>r</w:t>
      </w:r>
      <w:r>
        <w:rPr>
          <w:lang w:val="it-IT"/>
        </w:rPr>
        <w:t>u</w:t>
      </w:r>
      <w:r w:rsidRPr="000B79DA">
        <w:rPr>
          <w:lang w:val="it-IT"/>
        </w:rPr>
        <w:t>ese d</w:t>
      </w:r>
      <w:r>
        <w:rPr>
          <w:lang w:val="it-IT"/>
        </w:rPr>
        <w:t>ë</w:t>
      </w:r>
      <w:r w:rsidRPr="000B79DA">
        <w:rPr>
          <w:lang w:val="it-IT"/>
        </w:rPr>
        <w:t>rgohet n</w:t>
      </w:r>
      <w:r>
        <w:rPr>
          <w:lang w:val="it-IT"/>
        </w:rPr>
        <w:t>ë</w:t>
      </w:r>
      <w:r w:rsidRPr="000B79DA">
        <w:rPr>
          <w:lang w:val="it-IT"/>
        </w:rPr>
        <w:t xml:space="preserve"> format elektronik para p</w:t>
      </w:r>
      <w:r>
        <w:rPr>
          <w:lang w:val="it-IT"/>
        </w:rPr>
        <w:t>ë</w:t>
      </w:r>
      <w:r w:rsidRPr="000B79DA">
        <w:rPr>
          <w:lang w:val="it-IT"/>
        </w:rPr>
        <w:t>rfundimit t</w:t>
      </w:r>
      <w:r>
        <w:rPr>
          <w:lang w:val="it-IT"/>
        </w:rPr>
        <w:t>ë</w:t>
      </w:r>
      <w:r w:rsidRPr="000B79DA">
        <w:rPr>
          <w:lang w:val="it-IT"/>
        </w:rPr>
        <w:t xml:space="preserve"> dit</w:t>
      </w:r>
      <w:r>
        <w:rPr>
          <w:lang w:val="it-IT"/>
        </w:rPr>
        <w:t>ë</w:t>
      </w:r>
      <w:r w:rsidRPr="000B79DA">
        <w:rPr>
          <w:lang w:val="it-IT"/>
        </w:rPr>
        <w:t>s s</w:t>
      </w:r>
      <w:r>
        <w:rPr>
          <w:lang w:val="it-IT"/>
        </w:rPr>
        <w:t>ë</w:t>
      </w:r>
      <w:r w:rsidRPr="000B79DA">
        <w:rPr>
          <w:lang w:val="it-IT"/>
        </w:rPr>
        <w:t xml:space="preserve"> pun</w:t>
      </w:r>
      <w:r>
        <w:rPr>
          <w:lang w:val="it-IT"/>
        </w:rPr>
        <w:t>ë</w:t>
      </w:r>
      <w:r w:rsidRPr="000B79DA">
        <w:rPr>
          <w:lang w:val="it-IT"/>
        </w:rPr>
        <w:t>s, duke siguruar, n</w:t>
      </w:r>
      <w:r>
        <w:rPr>
          <w:lang w:val="it-IT"/>
        </w:rPr>
        <w:t>ë</w:t>
      </w:r>
      <w:r w:rsidRPr="000B79DA">
        <w:rPr>
          <w:lang w:val="it-IT"/>
        </w:rPr>
        <w:t xml:space="preserve"> çdo rast, lidhjen e sakt</w:t>
      </w:r>
      <w:r>
        <w:rPr>
          <w:lang w:val="it-IT"/>
        </w:rPr>
        <w:t>ë</w:t>
      </w:r>
      <w:r w:rsidRPr="000B79DA">
        <w:rPr>
          <w:lang w:val="it-IT"/>
        </w:rPr>
        <w:t xml:space="preserve"> t</w:t>
      </w:r>
      <w:r>
        <w:rPr>
          <w:lang w:val="it-IT"/>
        </w:rPr>
        <w:t>ë</w:t>
      </w:r>
      <w:r w:rsidRPr="000B79DA">
        <w:rPr>
          <w:lang w:val="it-IT"/>
        </w:rPr>
        <w:t xml:space="preserve"> dokumenteve shoq</w:t>
      </w:r>
      <w:r>
        <w:rPr>
          <w:lang w:val="it-IT"/>
        </w:rPr>
        <w:t>ë</w:t>
      </w:r>
      <w:r w:rsidRPr="000B79DA">
        <w:rPr>
          <w:lang w:val="it-IT"/>
        </w:rPr>
        <w:t>ruese me secilin aplikim t</w:t>
      </w:r>
      <w:r>
        <w:rPr>
          <w:lang w:val="it-IT"/>
        </w:rPr>
        <w:t>ë</w:t>
      </w:r>
      <w:r w:rsidRPr="000B79DA">
        <w:rPr>
          <w:lang w:val="it-IT"/>
        </w:rPr>
        <w:t xml:space="preserve"> d</w:t>
      </w:r>
      <w:r>
        <w:rPr>
          <w:lang w:val="it-IT"/>
        </w:rPr>
        <w:t>ë</w:t>
      </w:r>
      <w:r w:rsidRPr="000B79DA">
        <w:rPr>
          <w:lang w:val="it-IT"/>
        </w:rPr>
        <w:t>rguar.</w:t>
      </w:r>
    </w:p>
    <w:p w:rsidR="004A263C" w:rsidRDefault="004A263C" w:rsidP="004A263C">
      <w:pPr>
        <w:pStyle w:val="Paragrafi"/>
        <w:rPr>
          <w:lang w:val="it-IT"/>
        </w:rPr>
      </w:pPr>
      <w:r>
        <w:rPr>
          <w:lang w:val="it-IT"/>
        </w:rPr>
        <w:t>20. Konfirmimi përmban edhe numrin e dhënë automatikisht nga sistemi i informatizuar i QKR-së, sipas pikës 10 të këtij vendimi, i cili shërben për të ndjekur në çdo kohë, gjendjen e procesit të regjistrimit dhe nënshkruhet nga nëpunësi i sportelit e aplikantit.</w:t>
      </w:r>
    </w:p>
    <w:p w:rsidR="004A263C" w:rsidRDefault="004A263C" w:rsidP="004A263C">
      <w:pPr>
        <w:pStyle w:val="Paragrafi"/>
        <w:rPr>
          <w:lang w:val="it-IT"/>
        </w:rPr>
      </w:pPr>
      <w:r>
        <w:rPr>
          <w:lang w:val="it-IT"/>
        </w:rPr>
        <w:t>21. Aplikimi dhe dokumentet shoqëruese, në format elektronik, dërguar sipas parashikimeve të pikave 18, 19 e 20 të këtij vendimi, merren në shqyrtim nga nëpunësit e autorizuar të QKR-së, sipas radhës së paraqitjes së tyre.</w:t>
      </w:r>
    </w:p>
    <w:p w:rsidR="004A263C" w:rsidRDefault="004A263C" w:rsidP="004A263C">
      <w:pPr>
        <w:pStyle w:val="Paragrafi"/>
        <w:rPr>
          <w:lang w:val="it-IT"/>
        </w:rPr>
      </w:pPr>
      <w:r>
        <w:rPr>
          <w:lang w:val="it-IT"/>
        </w:rPr>
        <w:t>22. Nëpunësi i autorizuar i QKR-së verifikon me hollësi nëse aplikimi dhe dokumentet shoqëruese janë në përputhje me kërkesat e pikës 1 të nenit 54 të ligjit, si dhe verifikon veprimet e kryera nga nëpunësi i sportelit.</w:t>
      </w:r>
    </w:p>
    <w:p w:rsidR="004A263C" w:rsidRDefault="004A263C" w:rsidP="004A263C">
      <w:pPr>
        <w:pStyle w:val="Paragrafi"/>
        <w:rPr>
          <w:lang w:val="it-IT"/>
        </w:rPr>
      </w:pPr>
      <w:r>
        <w:rPr>
          <w:lang w:val="it-IT"/>
        </w:rPr>
        <w:t>23. Kur nëpunësi i autorizuar vëren se aplikimi është në përputhje me kërkesat e ligjit, vlerëson vetëm plotësimin e kërkesave, të përcaktuara në pikën 1 të nenit 54 të ligjit. Në këtë vlerësim nëpunësi i autorizuar nuk mund të shqyrtojë saktësinë e të dhënave, vërtetësinë e dokumenteve, që i bashkëlidhen aplikimit për regjistrim, apo përputhshmërisë e përmbajtjes së tyre me kërkesat e ligjit në fuqi. Përgjegjësia për saktësinë e të dhënave të deklaruara ose vërtetësinë e dokumenteve, që i bashkëlidhen aplikimit, mbahet nga personat që kanë bërë deklarimet ose që kanë hartuar aktin, sipas dispozitave ligjore në fuqi.</w:t>
      </w:r>
    </w:p>
    <w:p w:rsidR="004A263C" w:rsidRDefault="004A263C" w:rsidP="004A263C">
      <w:pPr>
        <w:pStyle w:val="Paragrafi"/>
        <w:rPr>
          <w:lang w:val="it-IT"/>
        </w:rPr>
      </w:pPr>
      <w:r>
        <w:rPr>
          <w:lang w:val="it-IT"/>
        </w:rPr>
        <w:t>24. Nëpunësi i autorizuar nuk mund ta refuzojë regjistrimin, nëse aplikimi është  dorëzuar sipas parashikimeve të ligjit.</w:t>
      </w:r>
    </w:p>
    <w:p w:rsidR="004A263C" w:rsidRDefault="004A263C" w:rsidP="004A263C">
      <w:pPr>
        <w:pStyle w:val="Paragrafi"/>
        <w:rPr>
          <w:lang w:val="it-IT"/>
        </w:rPr>
      </w:pPr>
      <w:r>
        <w:rPr>
          <w:lang w:val="it-IT"/>
        </w:rPr>
        <w:t>25. Nëse nëpunësi i autorizuar (regjistruesi) pas verifikimeve sipas pikave 21, 22, 23 e 24 të këtij vendimi, vëren se aplikimi është në përputhje me kërkesat e ligjit, brenda afatit maksimal prej 1 dite nga paraqitja e aplikimit, miraton:</w:t>
      </w:r>
    </w:p>
    <w:p w:rsidR="004A263C" w:rsidRPr="00954CB9" w:rsidRDefault="004A263C" w:rsidP="004A263C">
      <w:pPr>
        <w:pStyle w:val="Paragrafi"/>
        <w:rPr>
          <w:lang w:val="it-IT"/>
        </w:rPr>
      </w:pPr>
      <w:r w:rsidRPr="00954CB9">
        <w:rPr>
          <w:lang w:val="it-IT"/>
        </w:rPr>
        <w:t>a)</w:t>
      </w:r>
      <w:r>
        <w:rPr>
          <w:lang w:val="it-IT"/>
        </w:rPr>
        <w:t xml:space="preserve"> </w:t>
      </w:r>
      <w:r w:rsidRPr="00954CB9">
        <w:rPr>
          <w:lang w:val="it-IT"/>
        </w:rPr>
        <w:t>kryerjen e regjistrimit;</w:t>
      </w:r>
    </w:p>
    <w:p w:rsidR="004A263C" w:rsidRPr="00954CB9" w:rsidRDefault="004A263C" w:rsidP="004A263C">
      <w:pPr>
        <w:pStyle w:val="Paragrafi"/>
        <w:rPr>
          <w:lang w:val="it-IT"/>
        </w:rPr>
      </w:pPr>
      <w:r w:rsidRPr="00954CB9">
        <w:rPr>
          <w:lang w:val="it-IT"/>
        </w:rPr>
        <w:t>b)</w:t>
      </w:r>
      <w:r>
        <w:rPr>
          <w:lang w:val="it-IT"/>
        </w:rPr>
        <w:t xml:space="preserve"> </w:t>
      </w:r>
      <w:r w:rsidRPr="00954CB9">
        <w:rPr>
          <w:lang w:val="it-IT"/>
        </w:rPr>
        <w:t>lëshimin e NUIS-it, në rastin e regjistrimit fillestar;</w:t>
      </w:r>
    </w:p>
    <w:p w:rsidR="004A263C" w:rsidRPr="00954CB9" w:rsidRDefault="004A263C" w:rsidP="004A263C">
      <w:pPr>
        <w:pStyle w:val="Paragrafi"/>
        <w:rPr>
          <w:lang w:val="it-IT"/>
        </w:rPr>
      </w:pPr>
      <w:r w:rsidRPr="00954CB9">
        <w:rPr>
          <w:lang w:val="it-IT"/>
        </w:rPr>
        <w:t>c)</w:t>
      </w:r>
      <w:r>
        <w:rPr>
          <w:lang w:val="it-IT"/>
        </w:rPr>
        <w:t xml:space="preserve"> </w:t>
      </w:r>
      <w:r w:rsidRPr="00954CB9">
        <w:rPr>
          <w:lang w:val="it-IT"/>
        </w:rPr>
        <w:t xml:space="preserve">lëshimin e certifikatave të </w:t>
      </w:r>
      <w:r>
        <w:rPr>
          <w:lang w:val="it-IT"/>
        </w:rPr>
        <w:t>regjistrimit ose sipas rastit</w:t>
      </w:r>
      <w:r w:rsidRPr="00954CB9">
        <w:rPr>
          <w:lang w:val="it-IT"/>
        </w:rPr>
        <w:t xml:space="preserve"> vërtetimin e kryerjes së</w:t>
      </w:r>
      <w:r>
        <w:rPr>
          <w:lang w:val="it-IT"/>
        </w:rPr>
        <w:t xml:space="preserve"> regjis</w:t>
      </w:r>
      <w:r w:rsidRPr="00954CB9">
        <w:rPr>
          <w:lang w:val="it-IT"/>
        </w:rPr>
        <w:t>trimit;</w:t>
      </w:r>
    </w:p>
    <w:p w:rsidR="004A263C" w:rsidRDefault="004A263C" w:rsidP="004A263C">
      <w:pPr>
        <w:pStyle w:val="Paragrafi"/>
        <w:rPr>
          <w:lang w:val="it-IT"/>
        </w:rPr>
      </w:pPr>
      <w:r w:rsidRPr="00954CB9">
        <w:rPr>
          <w:lang w:val="it-IT"/>
        </w:rPr>
        <w:t>ç)</w:t>
      </w:r>
      <w:r>
        <w:rPr>
          <w:lang w:val="it-IT"/>
        </w:rPr>
        <w:t xml:space="preserve"> </w:t>
      </w:r>
      <w:r w:rsidRPr="00954CB9">
        <w:rPr>
          <w:lang w:val="it-IT"/>
        </w:rPr>
        <w:t>kryerjen e publikimit elektronik të regjistrimit në Buletinin e Njoftimeve Zyrtare.</w:t>
      </w:r>
    </w:p>
    <w:p w:rsidR="004A263C" w:rsidRPr="00954CB9" w:rsidRDefault="004A263C" w:rsidP="004A263C">
      <w:pPr>
        <w:pStyle w:val="Paragrafi"/>
        <w:rPr>
          <w:lang w:val="it-IT"/>
        </w:rPr>
      </w:pPr>
    </w:p>
    <w:p w:rsidR="004A263C" w:rsidRDefault="004A263C" w:rsidP="004A263C">
      <w:pPr>
        <w:pStyle w:val="Paragrafi"/>
        <w:rPr>
          <w:lang w:val="it-IT"/>
        </w:rPr>
      </w:pPr>
      <w:r w:rsidRPr="00954CB9">
        <w:rPr>
          <w:lang w:val="it-IT"/>
        </w:rPr>
        <w:t>26.</w:t>
      </w:r>
      <w:r>
        <w:rPr>
          <w:lang w:val="it-IT"/>
        </w:rPr>
        <w:t xml:space="preserve"> </w:t>
      </w:r>
      <w:r w:rsidRPr="00954CB9">
        <w:rPr>
          <w:lang w:val="it-IT"/>
        </w:rPr>
        <w:t>Nëpunësi i autorizuar (regjis</w:t>
      </w:r>
      <w:r>
        <w:rPr>
          <w:lang w:val="it-IT"/>
        </w:rPr>
        <w:t>truesi) miraton kryerjen e regjis</w:t>
      </w:r>
      <w:r w:rsidRPr="00954CB9">
        <w:rPr>
          <w:lang w:val="it-IT"/>
        </w:rPr>
        <w:t>trimit si më sipër, nëse vlerëson se mangësitë e vë</w:t>
      </w:r>
      <w:r>
        <w:rPr>
          <w:lang w:val="it-IT"/>
        </w:rPr>
        <w:t>rejt</w:t>
      </w:r>
      <w:r w:rsidRPr="00954CB9">
        <w:rPr>
          <w:lang w:val="it-IT"/>
        </w:rPr>
        <w:t>ura gjatë shqyrtimit paraprak, sipas pikave 18,</w:t>
      </w:r>
      <w:r>
        <w:rPr>
          <w:lang w:val="it-IT"/>
        </w:rPr>
        <w:t xml:space="preserve"> </w:t>
      </w:r>
      <w:r w:rsidRPr="00954CB9">
        <w:rPr>
          <w:lang w:val="it-IT"/>
        </w:rPr>
        <w:t>19 e 20 të këtij vendimi, nuk janë të mbështetura në ligj dhe në dispozitat e këtij vendimi.</w:t>
      </w:r>
    </w:p>
    <w:p w:rsidR="004A263C" w:rsidRPr="00954CB9" w:rsidRDefault="004A263C" w:rsidP="004A263C">
      <w:pPr>
        <w:pStyle w:val="Paragrafi"/>
        <w:rPr>
          <w:lang w:val="it-IT"/>
        </w:rPr>
      </w:pPr>
      <w:r w:rsidRPr="00954CB9">
        <w:rPr>
          <w:lang w:val="it-IT"/>
        </w:rPr>
        <w:t>27.</w:t>
      </w:r>
      <w:r>
        <w:rPr>
          <w:lang w:val="it-IT"/>
        </w:rPr>
        <w:t xml:space="preserve"> </w:t>
      </w:r>
      <w:r w:rsidRPr="00954CB9">
        <w:rPr>
          <w:lang w:val="it-IT"/>
        </w:rPr>
        <w:t>Në rastin e regjistrimit fillestar, nëpunë</w:t>
      </w:r>
      <w:r>
        <w:rPr>
          <w:lang w:val="it-IT"/>
        </w:rPr>
        <w:t>si i autorizuar (regjist</w:t>
      </w:r>
      <w:r w:rsidRPr="00954CB9">
        <w:rPr>
          <w:lang w:val="it-IT"/>
        </w:rPr>
        <w:t>ruesi) njofton, në mënyrë elektronike, Drejtorinë e Përgjithshme të</w:t>
      </w:r>
      <w:r>
        <w:rPr>
          <w:lang w:val="it-IT"/>
        </w:rPr>
        <w:t xml:space="preserve"> </w:t>
      </w:r>
      <w:r w:rsidRPr="00954CB9">
        <w:rPr>
          <w:lang w:val="it-IT"/>
        </w:rPr>
        <w:t xml:space="preserve">Tatimeve për regjistrimin e subjektit të ri dhe i dërgon të </w:t>
      </w:r>
      <w:r w:rsidRPr="00954CB9">
        <w:rPr>
          <w:lang w:val="it-IT"/>
        </w:rPr>
        <w:lastRenderedPageBreak/>
        <w:t>gjitha të dhënat e regjistrimit, deklaruar në formularin përkatës, dhe të dhënat e detyrues</w:t>
      </w:r>
      <w:r>
        <w:rPr>
          <w:lang w:val="it-IT"/>
        </w:rPr>
        <w:t>h</w:t>
      </w:r>
      <w:r w:rsidRPr="00954CB9">
        <w:rPr>
          <w:lang w:val="it-IT"/>
        </w:rPr>
        <w:t>me, sipas dispozitave, në fushën tatimore, të sigurimeve shoqërore e shë</w:t>
      </w:r>
      <w:r>
        <w:rPr>
          <w:lang w:val="it-IT"/>
        </w:rPr>
        <w:t>nd</w:t>
      </w:r>
      <w:r w:rsidRPr="00954CB9">
        <w:rPr>
          <w:lang w:val="it-IT"/>
        </w:rPr>
        <w:t>etësore, e statis</w:t>
      </w:r>
      <w:r>
        <w:rPr>
          <w:lang w:val="it-IT"/>
        </w:rPr>
        <w:t>t</w:t>
      </w:r>
      <w:r w:rsidRPr="00954CB9">
        <w:rPr>
          <w:lang w:val="it-IT"/>
        </w:rPr>
        <w:t>ikore, së bashku me dokumentet shoqëruese, të paraqitura, si dh</w:t>
      </w:r>
      <w:r>
        <w:rPr>
          <w:lang w:val="it-IT"/>
        </w:rPr>
        <w:t>e i kërkon lëshimin e Numrit</w:t>
      </w:r>
      <w:r w:rsidRPr="00954CB9">
        <w:rPr>
          <w:lang w:val="it-IT"/>
        </w:rPr>
        <w:t xml:space="preserve"> Unik të</w:t>
      </w:r>
      <w:r>
        <w:rPr>
          <w:lang w:val="it-IT"/>
        </w:rPr>
        <w:t xml:space="preserve"> Identifikimit (NUIS), i cili</w:t>
      </w:r>
      <w:r w:rsidRPr="00954CB9">
        <w:rPr>
          <w:lang w:val="it-IT"/>
        </w:rPr>
        <w:t xml:space="preserve"> lëshohet menjëherë, në</w:t>
      </w:r>
      <w:r>
        <w:rPr>
          <w:lang w:val="it-IT"/>
        </w:rPr>
        <w:t xml:space="preserve"> </w:t>
      </w:r>
      <w:r w:rsidRPr="00954CB9">
        <w:rPr>
          <w:lang w:val="it-IT"/>
        </w:rPr>
        <w:t>mënyrë</w:t>
      </w:r>
      <w:r>
        <w:rPr>
          <w:lang w:val="it-IT"/>
        </w:rPr>
        <w:t xml:space="preserve"> auto</w:t>
      </w:r>
      <w:r w:rsidRPr="00954CB9">
        <w:rPr>
          <w:lang w:val="it-IT"/>
        </w:rPr>
        <w:t>matike, nga Drejtoria e Përgjithshme e Tatimev</w:t>
      </w:r>
      <w:r>
        <w:rPr>
          <w:lang w:val="it-IT"/>
        </w:rPr>
        <w:t>e</w:t>
      </w:r>
      <w:r w:rsidRPr="00954CB9">
        <w:rPr>
          <w:lang w:val="it-IT"/>
        </w:rPr>
        <w:t>. Në rast ndërprerjesh të lidhjes on-line, NUIS-i lëshohet nga QKR-ja në b</w:t>
      </w:r>
      <w:r>
        <w:rPr>
          <w:lang w:val="it-IT"/>
        </w:rPr>
        <w:t>a</w:t>
      </w:r>
      <w:r w:rsidRPr="00954CB9">
        <w:rPr>
          <w:lang w:val="it-IT"/>
        </w:rPr>
        <w:t>zë të logaritmit, të</w:t>
      </w:r>
      <w:r>
        <w:rPr>
          <w:lang w:val="it-IT"/>
        </w:rPr>
        <w:t xml:space="preserve"> mira</w:t>
      </w:r>
      <w:r w:rsidRPr="00954CB9">
        <w:rPr>
          <w:lang w:val="it-IT"/>
        </w:rPr>
        <w:t>tuar nga Drejtoria e Përgjithshme e Tatimeve, dhe i njoftohet org</w:t>
      </w:r>
      <w:r>
        <w:rPr>
          <w:lang w:val="it-IT"/>
        </w:rPr>
        <w:t>a</w:t>
      </w:r>
      <w:r w:rsidRPr="00954CB9">
        <w:rPr>
          <w:lang w:val="it-IT"/>
        </w:rPr>
        <w:t>nit tatimor në çastin e rivendosjes së lidhjes.</w:t>
      </w:r>
    </w:p>
    <w:p w:rsidR="004A263C" w:rsidRPr="00954CB9" w:rsidRDefault="004A263C" w:rsidP="004A263C">
      <w:pPr>
        <w:pStyle w:val="Paragrafi"/>
        <w:rPr>
          <w:lang w:val="it-IT"/>
        </w:rPr>
      </w:pPr>
      <w:r w:rsidRPr="00954CB9">
        <w:rPr>
          <w:lang w:val="it-IT"/>
        </w:rPr>
        <w:t>28.</w:t>
      </w:r>
      <w:r>
        <w:rPr>
          <w:lang w:val="it-IT"/>
        </w:rPr>
        <w:t xml:space="preserve"> </w:t>
      </w:r>
      <w:r w:rsidRPr="00954CB9">
        <w:rPr>
          <w:lang w:val="it-IT"/>
        </w:rPr>
        <w:t>QKR-ja, pas autorizimit të regjistrimit e, në rastin e regjistrimit fillestar, pas marrjes së NUIS-it, lëshon, sipas rastit, certifikata</w:t>
      </w:r>
      <w:r>
        <w:rPr>
          <w:lang w:val="it-IT"/>
        </w:rPr>
        <w:t>t e regjis</w:t>
      </w:r>
      <w:r w:rsidRPr="00954CB9">
        <w:rPr>
          <w:lang w:val="it-IT"/>
        </w:rPr>
        <w:t>trimit, sipas formateve të</w:t>
      </w:r>
      <w:r>
        <w:rPr>
          <w:lang w:val="it-IT"/>
        </w:rPr>
        <w:t xml:space="preserve"> mir</w:t>
      </w:r>
      <w:r w:rsidRPr="00954CB9">
        <w:rPr>
          <w:lang w:val="it-IT"/>
        </w:rPr>
        <w:t>atuara, apo vërtetimin e</w:t>
      </w:r>
      <w:r>
        <w:rPr>
          <w:lang w:val="it-IT"/>
        </w:rPr>
        <w:t xml:space="preserve"> </w:t>
      </w:r>
      <w:r w:rsidRPr="00954CB9">
        <w:rPr>
          <w:lang w:val="it-IT"/>
        </w:rPr>
        <w:t>kryerjes së</w:t>
      </w:r>
      <w:r>
        <w:rPr>
          <w:lang w:val="it-IT"/>
        </w:rPr>
        <w:t xml:space="preserve"> regjis</w:t>
      </w:r>
      <w:r w:rsidRPr="00954CB9">
        <w:rPr>
          <w:lang w:val="it-IT"/>
        </w:rPr>
        <w:t>trimit.</w:t>
      </w:r>
    </w:p>
    <w:p w:rsidR="004A263C" w:rsidRPr="00954CB9" w:rsidRDefault="004A263C" w:rsidP="004A263C">
      <w:pPr>
        <w:pStyle w:val="Paragrafi"/>
        <w:rPr>
          <w:lang w:val="it-IT"/>
        </w:rPr>
      </w:pPr>
      <w:r w:rsidRPr="00954CB9">
        <w:rPr>
          <w:lang w:val="it-IT"/>
        </w:rPr>
        <w:t>29.</w:t>
      </w:r>
      <w:r>
        <w:rPr>
          <w:lang w:val="it-IT"/>
        </w:rPr>
        <w:t xml:space="preserve"> </w:t>
      </w:r>
      <w:r w:rsidRPr="00954CB9">
        <w:rPr>
          <w:lang w:val="it-IT"/>
        </w:rPr>
        <w:t>Brenda 1 dite nga data e kryerjes së regjistrimit, sistemi i info</w:t>
      </w:r>
      <w:r>
        <w:rPr>
          <w:lang w:val="it-IT"/>
        </w:rPr>
        <w:t>rmatizuar i QKR-së publikon në B</w:t>
      </w:r>
      <w:r w:rsidRPr="00954CB9">
        <w:rPr>
          <w:lang w:val="it-IT"/>
        </w:rPr>
        <w:t>uletinin e</w:t>
      </w:r>
      <w:r>
        <w:rPr>
          <w:lang w:val="it-IT"/>
        </w:rPr>
        <w:t xml:space="preserve"> N</w:t>
      </w:r>
      <w:r w:rsidRPr="00954CB9">
        <w:rPr>
          <w:lang w:val="it-IT"/>
        </w:rPr>
        <w:t>joftimev</w:t>
      </w:r>
      <w:r>
        <w:rPr>
          <w:lang w:val="it-IT"/>
        </w:rPr>
        <w:t>e Z</w:t>
      </w:r>
      <w:r w:rsidRPr="00954CB9">
        <w:rPr>
          <w:lang w:val="it-IT"/>
        </w:rPr>
        <w:t>yrtare të regjistrimit të dhënat e</w:t>
      </w:r>
      <w:r>
        <w:rPr>
          <w:lang w:val="it-IT"/>
        </w:rPr>
        <w:t xml:space="preserve"> </w:t>
      </w:r>
      <w:r w:rsidRPr="00954CB9">
        <w:rPr>
          <w:lang w:val="it-IT"/>
        </w:rPr>
        <w:t>regjistrimit, në formatet e miratuara.</w:t>
      </w:r>
    </w:p>
    <w:p w:rsidR="004A263C" w:rsidRPr="00954CB9" w:rsidRDefault="004A263C" w:rsidP="004A263C">
      <w:pPr>
        <w:pStyle w:val="Paragrafi"/>
        <w:rPr>
          <w:lang w:val="it-IT"/>
        </w:rPr>
      </w:pPr>
      <w:r w:rsidRPr="00954CB9">
        <w:rPr>
          <w:lang w:val="it-IT"/>
        </w:rPr>
        <w:t>30.</w:t>
      </w:r>
      <w:r>
        <w:rPr>
          <w:lang w:val="it-IT"/>
        </w:rPr>
        <w:t xml:space="preserve"> </w:t>
      </w:r>
      <w:r w:rsidRPr="00954CB9">
        <w:rPr>
          <w:lang w:val="it-IT"/>
        </w:rPr>
        <w:t>Nëse nëpunësi i autorizuar, pas verif</w:t>
      </w:r>
      <w:r>
        <w:rPr>
          <w:lang w:val="it-IT"/>
        </w:rPr>
        <w:t>ikimeve sipas pikave 21 deri 24</w:t>
      </w:r>
      <w:r w:rsidRPr="00954CB9">
        <w:rPr>
          <w:lang w:val="it-IT"/>
        </w:rPr>
        <w:t xml:space="preserve"> të këtij vendimi, vëren se aplikimi nuk është në përputhje me kërkesat e ligjit, brenda afatit maksimal prej 1 dite nga paraqitja e aplikimit pezullon regjistrimin.</w:t>
      </w:r>
    </w:p>
    <w:p w:rsidR="004A263C" w:rsidRPr="00954CB9" w:rsidRDefault="004A263C" w:rsidP="004A263C">
      <w:pPr>
        <w:pStyle w:val="Paragrafi"/>
        <w:rPr>
          <w:lang w:val="it-IT"/>
        </w:rPr>
      </w:pPr>
      <w:r w:rsidRPr="00954CB9">
        <w:rPr>
          <w:lang w:val="it-IT"/>
        </w:rPr>
        <w:t>31.</w:t>
      </w:r>
      <w:r>
        <w:rPr>
          <w:lang w:val="it-IT"/>
        </w:rPr>
        <w:t xml:space="preserve"> </w:t>
      </w:r>
      <w:r w:rsidRPr="00954CB9">
        <w:rPr>
          <w:lang w:val="it-IT"/>
        </w:rPr>
        <w:t xml:space="preserve">QKR-ja </w:t>
      </w:r>
      <w:r>
        <w:rPr>
          <w:lang w:val="it-IT"/>
        </w:rPr>
        <w:t>i njofton</w:t>
      </w:r>
      <w:r w:rsidRPr="00954CB9">
        <w:rPr>
          <w:lang w:val="it-IT"/>
        </w:rPr>
        <w:t xml:space="preserve"> me shkrim, në sportel aplikantit</w:t>
      </w:r>
      <w:r>
        <w:rPr>
          <w:lang w:val="it-IT"/>
        </w:rPr>
        <w:t>,</w:t>
      </w:r>
      <w:r w:rsidRPr="00954CB9">
        <w:rPr>
          <w:lang w:val="it-IT"/>
        </w:rPr>
        <w:t xml:space="preserve"> brenda afatit të mësipërm</w:t>
      </w:r>
      <w:r>
        <w:rPr>
          <w:lang w:val="it-IT"/>
        </w:rPr>
        <w:t>,</w:t>
      </w:r>
      <w:r w:rsidRPr="00954CB9">
        <w:rPr>
          <w:lang w:val="it-IT"/>
        </w:rPr>
        <w:t xml:space="preserve"> shkakun e pezullimit, duke i dorë</w:t>
      </w:r>
      <w:r>
        <w:rPr>
          <w:lang w:val="it-IT"/>
        </w:rPr>
        <w:t>zuar dokumentin për</w:t>
      </w:r>
      <w:r w:rsidRPr="00954CB9">
        <w:rPr>
          <w:lang w:val="it-IT"/>
        </w:rPr>
        <w:t>katës, lë</w:t>
      </w:r>
      <w:r>
        <w:rPr>
          <w:lang w:val="it-IT"/>
        </w:rPr>
        <w:t>s</w:t>
      </w:r>
      <w:r w:rsidRPr="00954CB9">
        <w:rPr>
          <w:lang w:val="it-IT"/>
        </w:rPr>
        <w:t>huar nga sistemi i informatizuar, sipas formatit të miratuar, dhe i jep një afat 15-ditor për plotësimin ose nd</w:t>
      </w:r>
      <w:r>
        <w:rPr>
          <w:lang w:val="it-IT"/>
        </w:rPr>
        <w:t>reqje</w:t>
      </w:r>
      <w:r w:rsidRPr="00954CB9">
        <w:rPr>
          <w:lang w:val="it-IT"/>
        </w:rPr>
        <w:t>n e</w:t>
      </w:r>
      <w:r>
        <w:rPr>
          <w:lang w:val="it-IT"/>
        </w:rPr>
        <w:t xml:space="preserve"> </w:t>
      </w:r>
      <w:r w:rsidRPr="00954CB9">
        <w:rPr>
          <w:lang w:val="it-IT"/>
        </w:rPr>
        <w:t>mangësive, që pengojnë regjistrimin.</w:t>
      </w:r>
    </w:p>
    <w:p w:rsidR="004A263C" w:rsidRPr="00954CB9" w:rsidRDefault="004A263C" w:rsidP="004A263C">
      <w:pPr>
        <w:pStyle w:val="Paragrafi"/>
        <w:rPr>
          <w:lang w:val="it-IT"/>
        </w:rPr>
      </w:pPr>
      <w:r w:rsidRPr="00954CB9">
        <w:rPr>
          <w:lang w:val="it-IT"/>
        </w:rPr>
        <w:t xml:space="preserve">QKR-ja gjatë afatit të pezullimit nuk mund të paraqesë mangësi të tjera, të </w:t>
      </w:r>
      <w:r>
        <w:rPr>
          <w:lang w:val="it-IT"/>
        </w:rPr>
        <w:t>ndryshme nga ato</w:t>
      </w:r>
      <w:r w:rsidRPr="00954CB9">
        <w:rPr>
          <w:lang w:val="it-IT"/>
        </w:rPr>
        <w:t xml:space="preserve"> të njoftuara.</w:t>
      </w:r>
    </w:p>
    <w:p w:rsidR="004A263C" w:rsidRPr="00954CB9" w:rsidRDefault="004A263C" w:rsidP="004A263C">
      <w:pPr>
        <w:pStyle w:val="Paragrafi"/>
        <w:rPr>
          <w:lang w:val="it-IT"/>
        </w:rPr>
      </w:pPr>
      <w:r w:rsidRPr="00954CB9">
        <w:rPr>
          <w:lang w:val="it-IT"/>
        </w:rPr>
        <w:t>32.</w:t>
      </w:r>
      <w:r>
        <w:rPr>
          <w:lang w:val="it-IT"/>
        </w:rPr>
        <w:t xml:space="preserve"> Aplikanti në çdo kohë</w:t>
      </w:r>
      <w:r w:rsidRPr="00954CB9">
        <w:rPr>
          <w:lang w:val="it-IT"/>
        </w:rPr>
        <w:t xml:space="preserve"> brenda afatit të mësipërm, mund të plotësojë ose të ndreqë mangësitë, duke plotësuar formularin përkatës e duke dorëzuar dokumentet shoqëruese, të nevojshme. QKR-ja vlerëson aplikimin për plotësimin ose ndreqjen e mangësive, që</w:t>
      </w:r>
      <w:r>
        <w:rPr>
          <w:lang w:val="it-IT"/>
        </w:rPr>
        <w:t xml:space="preserve"> </w:t>
      </w:r>
      <w:r w:rsidRPr="00954CB9">
        <w:rPr>
          <w:lang w:val="it-IT"/>
        </w:rPr>
        <w:t>pengojnë</w:t>
      </w:r>
      <w:r>
        <w:rPr>
          <w:lang w:val="it-IT"/>
        </w:rPr>
        <w:t xml:space="preserve"> regjis</w:t>
      </w:r>
      <w:r w:rsidRPr="00954CB9">
        <w:rPr>
          <w:lang w:val="it-IT"/>
        </w:rPr>
        <w:t>trimin, në përputhje me pikat 18 deri 24 të</w:t>
      </w:r>
      <w:r>
        <w:rPr>
          <w:lang w:val="it-IT"/>
        </w:rPr>
        <w:t xml:space="preserve"> </w:t>
      </w:r>
      <w:r w:rsidRPr="00954CB9">
        <w:rPr>
          <w:lang w:val="it-IT"/>
        </w:rPr>
        <w:t>këtij vendimi.</w:t>
      </w:r>
    </w:p>
    <w:p w:rsidR="004A263C" w:rsidRPr="00D957B4" w:rsidRDefault="004A263C" w:rsidP="004A263C">
      <w:pPr>
        <w:pStyle w:val="Paragrafi"/>
        <w:rPr>
          <w:lang w:val="it-IT"/>
        </w:rPr>
      </w:pPr>
      <w:r>
        <w:rPr>
          <w:lang w:val="it-IT"/>
        </w:rPr>
        <w:t>33</w:t>
      </w:r>
      <w:r w:rsidRPr="00954CB9">
        <w:rPr>
          <w:lang w:val="it-IT"/>
        </w:rPr>
        <w:t>.</w:t>
      </w:r>
      <w:r>
        <w:rPr>
          <w:lang w:val="it-IT"/>
        </w:rPr>
        <w:t xml:space="preserve"> </w:t>
      </w:r>
      <w:r w:rsidRPr="00954CB9">
        <w:rPr>
          <w:lang w:val="it-IT"/>
        </w:rPr>
        <w:t>Në rastin kur pas pezullimit aplikanti ka plotësuar ose ndrequr mangësitë, brenda afatit të përcaktuar në</w:t>
      </w:r>
      <w:r>
        <w:rPr>
          <w:lang w:val="it-IT"/>
        </w:rPr>
        <w:t xml:space="preserve"> nenin 56</w:t>
      </w:r>
      <w:r w:rsidRPr="00954CB9">
        <w:rPr>
          <w:lang w:val="it-IT"/>
        </w:rPr>
        <w:t xml:space="preserve"> të </w:t>
      </w:r>
      <w:r>
        <w:rPr>
          <w:lang w:val="it-IT"/>
        </w:rPr>
        <w:t>ligjit,</w:t>
      </w:r>
      <w:r w:rsidRPr="00954CB9">
        <w:rPr>
          <w:lang w:val="it-IT"/>
        </w:rPr>
        <w:t xml:space="preserve"> </w:t>
      </w:r>
      <w:r>
        <w:rPr>
          <w:lang w:val="it-IT"/>
        </w:rPr>
        <w:t>QKR-ja kryen regjis</w:t>
      </w:r>
      <w:r w:rsidRPr="007C22B7">
        <w:rPr>
          <w:lang w:val="it-IT"/>
        </w:rPr>
        <w:t xml:space="preserve">trimin. </w:t>
      </w:r>
      <w:r w:rsidRPr="00D957B4">
        <w:rPr>
          <w:lang w:val="it-IT"/>
        </w:rPr>
        <w:t xml:space="preserve">Regjistrimi mban </w:t>
      </w:r>
      <w:r>
        <w:rPr>
          <w:lang w:val="it-IT"/>
        </w:rPr>
        <w:t>d</w:t>
      </w:r>
      <w:r w:rsidRPr="00D957B4">
        <w:rPr>
          <w:lang w:val="it-IT"/>
        </w:rPr>
        <w:t>atën e paraqitjes së aplikimit të parë.</w:t>
      </w:r>
    </w:p>
    <w:p w:rsidR="004A263C" w:rsidRPr="00D957B4" w:rsidRDefault="004A263C" w:rsidP="004A263C">
      <w:pPr>
        <w:pStyle w:val="Paragrafi"/>
        <w:rPr>
          <w:lang w:val="it-IT"/>
        </w:rPr>
      </w:pPr>
      <w:r w:rsidRPr="00D957B4">
        <w:rPr>
          <w:lang w:val="it-IT"/>
        </w:rPr>
        <w:t>34.</w:t>
      </w:r>
      <w:r>
        <w:rPr>
          <w:lang w:val="it-IT"/>
        </w:rPr>
        <w:t xml:space="preserve"> </w:t>
      </w:r>
      <w:r w:rsidRPr="00D957B4">
        <w:rPr>
          <w:lang w:val="it-IT"/>
        </w:rPr>
        <w:t>Nëse nëpunësi i autorizuar (regjistruesi), pas verifikimeve sipas pikave 21 deri 24, vëren se të dhënat, që kërkohen të regjistrohen, janë të ndryshme nga të dhënat e kërkuara nga dispozitat e ligjit, regjistrimi refuzohet dhe aplikantit i njoftohet, me shkrim, shkaku i refuzimit.</w:t>
      </w:r>
    </w:p>
    <w:p w:rsidR="004A263C" w:rsidRPr="00D957B4" w:rsidRDefault="004A263C" w:rsidP="004A263C">
      <w:pPr>
        <w:pStyle w:val="Paragrafi"/>
        <w:rPr>
          <w:lang w:val="it-IT"/>
        </w:rPr>
      </w:pPr>
      <w:r w:rsidRPr="00D957B4">
        <w:rPr>
          <w:lang w:val="it-IT"/>
        </w:rPr>
        <w:t>35.</w:t>
      </w:r>
      <w:r>
        <w:rPr>
          <w:lang w:val="it-IT"/>
        </w:rPr>
        <w:t xml:space="preserve"> </w:t>
      </w:r>
      <w:r w:rsidRPr="00D957B4">
        <w:rPr>
          <w:lang w:val="it-IT"/>
        </w:rPr>
        <w:t>Nëpunësi i autorizuar (regjistruesi) refuzon regjistrimin në rastin kur aplikanti nuk ka plotësuar ose ndrequr mangësitë, që pengojnë regjistrimin, brenda afatit 15</w:t>
      </w:r>
      <w:r>
        <w:rPr>
          <w:lang w:val="it-IT"/>
        </w:rPr>
        <w:t>-</w:t>
      </w:r>
      <w:r w:rsidRPr="00D957B4">
        <w:rPr>
          <w:lang w:val="it-IT"/>
        </w:rPr>
        <w:t>ditor të përcaktuar, në nenin 56 të ligjit. Nëpunësi i autorizuar refuzon regjistrimin edhe kur aplikimi për plotësimin ose ndreqjen e mangësive nuk plotëson qoftë edhe njërën nga kërkesat e përcaktuara në ligj.</w:t>
      </w:r>
    </w:p>
    <w:p w:rsidR="004A263C" w:rsidRPr="00D957B4" w:rsidRDefault="004A263C" w:rsidP="004A263C">
      <w:pPr>
        <w:pStyle w:val="Paragrafi"/>
        <w:rPr>
          <w:lang w:val="it-IT"/>
        </w:rPr>
      </w:pPr>
      <w:r w:rsidRPr="00D957B4">
        <w:rPr>
          <w:lang w:val="it-IT"/>
        </w:rPr>
        <w:t>36.</w:t>
      </w:r>
      <w:r>
        <w:rPr>
          <w:lang w:val="it-IT"/>
        </w:rPr>
        <w:t xml:space="preserve"> </w:t>
      </w:r>
      <w:r w:rsidRPr="00D957B4">
        <w:rPr>
          <w:lang w:val="it-IT"/>
        </w:rPr>
        <w:t>Në rastin kur brenda 1 dite nga paraqitja e aplikimit për kryerjen e një regjistrimi sipas ligjit, përfshirë aplikimin për plotësimin ose ndreqjen e mangësive, që pengojnë regjistrimin sipas pikë</w:t>
      </w:r>
      <w:r>
        <w:rPr>
          <w:lang w:val="it-IT"/>
        </w:rPr>
        <w:t>s 32</w:t>
      </w:r>
      <w:r w:rsidRPr="00D957B4">
        <w:rPr>
          <w:lang w:val="it-IT"/>
        </w:rPr>
        <w:t xml:space="preserve"> të këtij vendimi, nëpunësi i autorizuar nuk ka kryer regjistrimin, nuk ka njoftuar pezullimin e aplikimit apo refuzimin e tij, atë</w:t>
      </w:r>
      <w:r>
        <w:rPr>
          <w:lang w:val="it-IT"/>
        </w:rPr>
        <w:t>herë</w:t>
      </w:r>
      <w:r w:rsidRPr="00D957B4">
        <w:rPr>
          <w:lang w:val="it-IT"/>
        </w:rPr>
        <w:t xml:space="preserve"> aplikimi për regjistrim quhet i pranuar, menjëherë.</w:t>
      </w:r>
    </w:p>
    <w:p w:rsidR="004A263C" w:rsidRPr="00D957B4" w:rsidRDefault="004A263C" w:rsidP="004A263C">
      <w:pPr>
        <w:pStyle w:val="Paragrafi"/>
        <w:rPr>
          <w:lang w:val="it-IT"/>
        </w:rPr>
      </w:pPr>
      <w:r w:rsidRPr="00D957B4">
        <w:rPr>
          <w:lang w:val="it-IT"/>
        </w:rPr>
        <w:t>37.</w:t>
      </w:r>
      <w:r>
        <w:rPr>
          <w:lang w:val="it-IT"/>
        </w:rPr>
        <w:t xml:space="preserve"> </w:t>
      </w:r>
      <w:r w:rsidRPr="00D957B4">
        <w:rPr>
          <w:lang w:val="it-IT"/>
        </w:rPr>
        <w:t>Në këtë rast, sistemi i informatizuar i QKR-së lëshon, automatikisht, autorizimin sipas pikë</w:t>
      </w:r>
      <w:r>
        <w:rPr>
          <w:lang w:val="it-IT"/>
        </w:rPr>
        <w:t>s 25</w:t>
      </w:r>
      <w:r w:rsidRPr="00D957B4">
        <w:rPr>
          <w:lang w:val="it-IT"/>
        </w:rPr>
        <w:t xml:space="preserve"> të këtij vendimi, dhe kryen veprimet e përcaktuara në p</w:t>
      </w:r>
      <w:r>
        <w:rPr>
          <w:lang w:val="it-IT"/>
        </w:rPr>
        <w:t>i</w:t>
      </w:r>
      <w:r w:rsidRPr="00D957B4">
        <w:rPr>
          <w:lang w:val="it-IT"/>
        </w:rPr>
        <w:t>kat 27 e 28 të vendimit.</w:t>
      </w:r>
    </w:p>
    <w:p w:rsidR="004A263C" w:rsidRPr="00D957B4" w:rsidRDefault="004A263C" w:rsidP="004A263C">
      <w:pPr>
        <w:pStyle w:val="Paragrafi"/>
        <w:rPr>
          <w:lang w:val="it-IT"/>
        </w:rPr>
      </w:pPr>
      <w:r w:rsidRPr="00D957B4">
        <w:rPr>
          <w:lang w:val="it-IT"/>
        </w:rPr>
        <w:t>38.</w:t>
      </w:r>
      <w:r>
        <w:rPr>
          <w:lang w:val="it-IT"/>
        </w:rPr>
        <w:t xml:space="preserve"> </w:t>
      </w:r>
      <w:r w:rsidRPr="00D957B4">
        <w:rPr>
          <w:lang w:val="it-IT"/>
        </w:rPr>
        <w:t>Dispozitat e përcaktuara në nenet e mësipërme, me përjashtim të procedurës së lëshimit të NUIS-it apo të rasteve kur parashikohet shprehimisht, ndryshe, zbatohen edhe për ndryshimet në të dhënat e regjistruara, për regjistrimet e tjera të detyrueshme, sipas ligjit, për heqjen e subjektit nga statusi pasiv, për njoftimin e të dhënave vullnetare dhe për çregjistrimin e subjektit nga regjistri tregtar, si dhe për çdo regjistrim tjetër që, sipas ligjit, kryhet me aplikim.</w:t>
      </w:r>
    </w:p>
    <w:p w:rsidR="004A263C" w:rsidRDefault="004A263C" w:rsidP="004A263C">
      <w:pPr>
        <w:pStyle w:val="Paragrafi"/>
        <w:rPr>
          <w:lang w:val="it-IT"/>
        </w:rPr>
      </w:pPr>
      <w:r w:rsidRPr="00D957B4">
        <w:rPr>
          <w:lang w:val="it-IT"/>
        </w:rPr>
        <w:t>39.</w:t>
      </w:r>
      <w:r>
        <w:rPr>
          <w:lang w:val="it-IT"/>
        </w:rPr>
        <w:t xml:space="preserve"> </w:t>
      </w:r>
      <w:r w:rsidRPr="00D957B4">
        <w:rPr>
          <w:lang w:val="it-IT"/>
        </w:rPr>
        <w:t>Pavarësisht nga sa më sipër, regjistrimi i aplikimit kryhet menjëherë në sportel, në rastet, kur:</w:t>
      </w:r>
    </w:p>
    <w:p w:rsidR="004A263C" w:rsidRPr="00D957B4" w:rsidRDefault="004A263C" w:rsidP="004A263C">
      <w:pPr>
        <w:pStyle w:val="Paragrafi"/>
        <w:rPr>
          <w:lang w:val="it-IT"/>
        </w:rPr>
      </w:pPr>
      <w:r w:rsidRPr="00D957B4">
        <w:rPr>
          <w:lang w:val="it-IT"/>
        </w:rPr>
        <w:t>a)</w:t>
      </w:r>
      <w:r>
        <w:rPr>
          <w:lang w:val="it-IT"/>
        </w:rPr>
        <w:t xml:space="preserve"> </w:t>
      </w:r>
      <w:r w:rsidRPr="00D957B4">
        <w:rPr>
          <w:lang w:val="it-IT"/>
        </w:rPr>
        <w:t>depoziton bilancin vjetor kontabël dhe raportin e auditimit, në përputhje me shkronjë</w:t>
      </w:r>
      <w:r>
        <w:rPr>
          <w:lang w:val="it-IT"/>
        </w:rPr>
        <w:t>n “a”</w:t>
      </w:r>
      <w:r w:rsidRPr="00D957B4">
        <w:rPr>
          <w:lang w:val="it-IT"/>
        </w:rPr>
        <w:t xml:space="preserve"> të nenit 43/3 të këtij ligji;</w:t>
      </w:r>
    </w:p>
    <w:p w:rsidR="004A263C" w:rsidRPr="00D957B4" w:rsidRDefault="004A263C" w:rsidP="004A263C">
      <w:pPr>
        <w:pStyle w:val="Paragrafi"/>
        <w:rPr>
          <w:lang w:val="it-IT"/>
        </w:rPr>
      </w:pPr>
      <w:r w:rsidRPr="00D957B4">
        <w:rPr>
          <w:lang w:val="it-IT"/>
        </w:rPr>
        <w:t>b)</w:t>
      </w:r>
      <w:r>
        <w:rPr>
          <w:lang w:val="it-IT"/>
        </w:rPr>
        <w:t xml:space="preserve"> depoziton projektstatut</w:t>
      </w:r>
      <w:r w:rsidRPr="00D957B4">
        <w:rPr>
          <w:lang w:val="it-IT"/>
        </w:rPr>
        <w:t>in e shoqërive anonime, që themelohen me ofertë publike, e dokume</w:t>
      </w:r>
      <w:r>
        <w:rPr>
          <w:lang w:val="it-IT"/>
        </w:rPr>
        <w:t>nt</w:t>
      </w:r>
      <w:r w:rsidRPr="00D957B4">
        <w:rPr>
          <w:lang w:val="it-IT"/>
        </w:rPr>
        <w:t>et e</w:t>
      </w:r>
      <w:r>
        <w:rPr>
          <w:lang w:val="it-IT"/>
        </w:rPr>
        <w:t xml:space="preserve"> tjera, të parashikuara me ligj</w:t>
      </w:r>
      <w:r w:rsidRPr="00D957B4">
        <w:rPr>
          <w:lang w:val="it-IT"/>
        </w:rPr>
        <w:t>, gjatë fazës përgatitore të themelimit të tyre;</w:t>
      </w:r>
    </w:p>
    <w:p w:rsidR="004A263C" w:rsidRPr="00D957B4" w:rsidRDefault="004A263C" w:rsidP="004A263C">
      <w:pPr>
        <w:pStyle w:val="Paragrafi"/>
        <w:rPr>
          <w:lang w:val="it-IT"/>
        </w:rPr>
      </w:pPr>
      <w:r w:rsidRPr="00D957B4">
        <w:rPr>
          <w:lang w:val="it-IT"/>
        </w:rPr>
        <w:t>c)</w:t>
      </w:r>
      <w:r>
        <w:rPr>
          <w:lang w:val="it-IT"/>
        </w:rPr>
        <w:t xml:space="preserve"> </w:t>
      </w:r>
      <w:r w:rsidRPr="00D957B4">
        <w:rPr>
          <w:lang w:val="it-IT"/>
        </w:rPr>
        <w:t>paraqet projektin për bashkimin ose ndarjen e shoqë</w:t>
      </w:r>
      <w:r>
        <w:rPr>
          <w:lang w:val="it-IT"/>
        </w:rPr>
        <w:t>rive, sipas nenit 248</w:t>
      </w:r>
      <w:r w:rsidRPr="00D957B4">
        <w:rPr>
          <w:lang w:val="it-IT"/>
        </w:rPr>
        <w:t xml:space="preserve"> të ligjit nr</w:t>
      </w:r>
      <w:r>
        <w:rPr>
          <w:lang w:val="it-IT"/>
        </w:rPr>
        <w:t>.7</w:t>
      </w:r>
      <w:r w:rsidRPr="00D957B4">
        <w:rPr>
          <w:lang w:val="it-IT"/>
        </w:rPr>
        <w:t>638, datë 19.11.1992 “Për shoqëritë tregtare”, të ndryshuar.</w:t>
      </w:r>
    </w:p>
    <w:p w:rsidR="004A263C" w:rsidRDefault="004A263C" w:rsidP="004A263C">
      <w:pPr>
        <w:pStyle w:val="Paragrafi"/>
        <w:rPr>
          <w:lang w:val="it-IT"/>
        </w:rPr>
      </w:pPr>
      <w:r>
        <w:rPr>
          <w:lang w:val="it-IT"/>
        </w:rPr>
        <w:t>ç) njofton vullnetarisht website-in, e-mail-in, numrin e telefonit dhe të faksit;</w:t>
      </w:r>
    </w:p>
    <w:p w:rsidR="004A263C" w:rsidRDefault="004A263C" w:rsidP="004A263C">
      <w:pPr>
        <w:pStyle w:val="Paragrafi"/>
        <w:rPr>
          <w:lang w:val="it-IT"/>
        </w:rPr>
      </w:pPr>
      <w:r>
        <w:rPr>
          <w:lang w:val="it-IT"/>
        </w:rPr>
        <w:t>d) njofton ndryshimin e të dhënave të identifikimit të individëve, të përfshirë në regjistrin tregtar, në përputhje me ligjin;</w:t>
      </w:r>
    </w:p>
    <w:p w:rsidR="004A263C" w:rsidRDefault="004A263C" w:rsidP="004A263C">
      <w:pPr>
        <w:pStyle w:val="Paragrafi"/>
        <w:rPr>
          <w:lang w:val="it-IT"/>
        </w:rPr>
      </w:pPr>
      <w:r>
        <w:rPr>
          <w:lang w:val="it-IT"/>
        </w:rPr>
        <w:lastRenderedPageBreak/>
        <w:t>dh) njofton ndryshimin e specimenit (llojit, tipit) të nënshkrimit;</w:t>
      </w:r>
    </w:p>
    <w:p w:rsidR="004A263C" w:rsidRDefault="004A263C" w:rsidP="004A263C">
      <w:pPr>
        <w:pStyle w:val="Paragrafi"/>
        <w:rPr>
          <w:lang w:val="it-IT"/>
        </w:rPr>
      </w:pPr>
      <w:r>
        <w:rPr>
          <w:lang w:val="it-IT"/>
        </w:rPr>
        <w:t>e) njofton ndryshimin e objektit të veprimtarisë për personat fizikë.</w:t>
      </w:r>
    </w:p>
    <w:p w:rsidR="004A263C" w:rsidRDefault="004A263C" w:rsidP="004A263C">
      <w:pPr>
        <w:pStyle w:val="Paragrafi"/>
        <w:rPr>
          <w:lang w:val="it-IT"/>
        </w:rPr>
      </w:pPr>
      <w:r>
        <w:rPr>
          <w:lang w:val="it-IT"/>
        </w:rPr>
        <w:t>Në këto raste nëpunësi i sportelit vepron në përputhje me pikat 8 deri 17 dhe të shkronjës “a” të nenit 18 të këtij vendimi dhe i lëshon aplikantit vërtetimin e kryerjes së regjistrimit.</w:t>
      </w:r>
    </w:p>
    <w:p w:rsidR="004A263C" w:rsidRDefault="004A263C" w:rsidP="004A263C">
      <w:pPr>
        <w:pStyle w:val="Paragrafi"/>
        <w:rPr>
          <w:lang w:val="it-IT"/>
        </w:rPr>
      </w:pPr>
      <w:r>
        <w:rPr>
          <w:lang w:val="it-IT"/>
        </w:rPr>
        <w:t>40. QKR-ja, me lëshimin e autorizimit të regjistrimit fillestar të subjekteve në regjistrin tregtar, njofton, në mënyrë elektronike, Drejtorinë e Përgjithshme të Tatimeve për regjistrimin e subjektit të ri, si dhe i dërgon të gjitha të dhënat e regjistrimit, deklaruar në formularin përkatës, të dhënat e detyrueshme, sipas dispozitave, që rregullojnë fushën tatimore, statistikore, të sigurimeve shoqërore e shëndetësore, si dhe dokumentet shoqëruese, të paraqitura në përputhje me pikën 27 të këtij vendimi.</w:t>
      </w:r>
    </w:p>
    <w:p w:rsidR="004A263C" w:rsidRDefault="004A263C" w:rsidP="004A263C">
      <w:pPr>
        <w:pStyle w:val="Paragrafi"/>
        <w:rPr>
          <w:lang w:val="it-IT"/>
        </w:rPr>
      </w:pPr>
      <w:r>
        <w:rPr>
          <w:lang w:val="it-IT"/>
        </w:rPr>
        <w:t>41. QKR-ja i dërgon, gjithashtu, në mënyrë elektronike, Inspektoratit Shtetëror të Punës të gjitha të dhënat e detyrueshme, sipas dispozitave, që rregullojnë fushën e inspektimit të punës.</w:t>
      </w:r>
    </w:p>
    <w:p w:rsidR="004A263C" w:rsidRDefault="004A263C" w:rsidP="004A263C">
      <w:pPr>
        <w:pStyle w:val="Paragrafi"/>
        <w:rPr>
          <w:lang w:val="it-IT"/>
        </w:rPr>
      </w:pPr>
      <w:r>
        <w:rPr>
          <w:lang w:val="it-IT"/>
        </w:rPr>
        <w:t>42. Për çdo subjekt të ri, të regjistruar, në regjistrin tregtar, QKR-ja njofton edhe bashkitë dhe komunat, ku subjektet kanë selinë apo vendet e ushtrimit të veprimtarisë, të gjitha të dhënat e regjistrimit të deklaruara në formularin përkatës dhe të dhënat e detyrueshme, sipas dispozitave, që rregullojnë fushën tatimore.</w:t>
      </w:r>
    </w:p>
    <w:p w:rsidR="004A263C" w:rsidRDefault="004A263C" w:rsidP="004A263C">
      <w:pPr>
        <w:pStyle w:val="Paragrafi"/>
        <w:rPr>
          <w:lang w:val="it-IT"/>
        </w:rPr>
      </w:pPr>
      <w:r>
        <w:rPr>
          <w:lang w:val="it-IT"/>
        </w:rPr>
        <w:t>43. QKR-ja, nëpërmjet sporteleve të shërbimit, u njofton në mënyrë elektronike bashkive dhe komunave të lidhura në rrjet të dhënat e përcaktuara në pikën 44 të këtij vendimi, së bashku me dokumentet shoqëruese të paraqitura.</w:t>
      </w:r>
    </w:p>
    <w:p w:rsidR="004A263C" w:rsidRDefault="004A263C" w:rsidP="004A263C">
      <w:pPr>
        <w:pStyle w:val="Paragrafi"/>
        <w:rPr>
          <w:lang w:val="it-IT"/>
        </w:rPr>
      </w:pPr>
      <w:r>
        <w:rPr>
          <w:lang w:val="it-IT"/>
        </w:rPr>
        <w:t>44. Për bashkitë dhe komunat, që nuk janë të lidhura në rrjet, QKR-ja i dërgon këto të dhëna me postë.</w:t>
      </w:r>
    </w:p>
    <w:p w:rsidR="004A263C" w:rsidRDefault="004A263C" w:rsidP="004A263C">
      <w:pPr>
        <w:pStyle w:val="Paragrafi"/>
        <w:rPr>
          <w:lang w:val="it-IT"/>
        </w:rPr>
      </w:pPr>
      <w:r>
        <w:rPr>
          <w:lang w:val="it-IT"/>
        </w:rPr>
        <w:t>45. QKR-ja në të njëjtën mënyrë njofton autoritetet e mësipërme, edhe për çdo ndryshim në të dhënat e regjistrimit tregtar dhe për të dhënat e tjera të detyrueshme, sipas ligjit.</w:t>
      </w:r>
    </w:p>
    <w:p w:rsidR="004A263C" w:rsidRPr="008064E8" w:rsidRDefault="004A263C" w:rsidP="004A263C">
      <w:pPr>
        <w:pStyle w:val="Paragrafi"/>
        <w:rPr>
          <w:lang w:val="it-IT"/>
        </w:rPr>
      </w:pPr>
      <w:r w:rsidRPr="008064E8">
        <w:rPr>
          <w:lang w:val="it-IT"/>
        </w:rPr>
        <w:t>46.</w:t>
      </w:r>
      <w:r>
        <w:rPr>
          <w:lang w:val="it-IT"/>
        </w:rPr>
        <w:t xml:space="preserve"> </w:t>
      </w:r>
      <w:r w:rsidRPr="008064E8">
        <w:rPr>
          <w:lang w:val="it-IT"/>
        </w:rPr>
        <w:t>Njoftimet e më</w:t>
      </w:r>
      <w:r>
        <w:rPr>
          <w:lang w:val="it-IT"/>
        </w:rPr>
        <w:t>si</w:t>
      </w:r>
      <w:r w:rsidRPr="008064E8">
        <w:rPr>
          <w:lang w:val="it-IT"/>
        </w:rPr>
        <w:t>përme kryhen brenda ditës së punës, kur bë</w:t>
      </w:r>
      <w:r>
        <w:rPr>
          <w:lang w:val="it-IT"/>
        </w:rPr>
        <w:t>het regjis</w:t>
      </w:r>
      <w:r w:rsidRPr="008064E8">
        <w:rPr>
          <w:lang w:val="it-IT"/>
        </w:rPr>
        <w:t>trimi. Njoftimi në</w:t>
      </w:r>
      <w:r>
        <w:rPr>
          <w:lang w:val="it-IT"/>
        </w:rPr>
        <w:t>për</w:t>
      </w:r>
      <w:r w:rsidRPr="008064E8">
        <w:rPr>
          <w:lang w:val="it-IT"/>
        </w:rPr>
        <w:t>mjet shërbimit postar kryhet brenda 2 ditë pune pas datës në</w:t>
      </w:r>
      <w:r>
        <w:rPr>
          <w:lang w:val="it-IT"/>
        </w:rPr>
        <w:t xml:space="preserve"> </w:t>
      </w:r>
      <w:r w:rsidRPr="008064E8">
        <w:rPr>
          <w:lang w:val="it-IT"/>
        </w:rPr>
        <w:t>të cilën është bërë</w:t>
      </w:r>
      <w:r>
        <w:rPr>
          <w:lang w:val="it-IT"/>
        </w:rPr>
        <w:t xml:space="preserve"> regjis</w:t>
      </w:r>
      <w:r w:rsidRPr="008064E8">
        <w:rPr>
          <w:lang w:val="it-IT"/>
        </w:rPr>
        <w:t>trimi.</w:t>
      </w:r>
    </w:p>
    <w:p w:rsidR="004A263C" w:rsidRPr="008064E8" w:rsidRDefault="004A263C" w:rsidP="004A263C">
      <w:pPr>
        <w:pStyle w:val="Paragrafi"/>
        <w:rPr>
          <w:lang w:val="it-IT"/>
        </w:rPr>
      </w:pPr>
      <w:r w:rsidRPr="008064E8">
        <w:rPr>
          <w:lang w:val="it-IT"/>
        </w:rPr>
        <w:t>47.</w:t>
      </w:r>
      <w:r>
        <w:rPr>
          <w:lang w:val="it-IT"/>
        </w:rPr>
        <w:t xml:space="preserve"> </w:t>
      </w:r>
      <w:r w:rsidRPr="008064E8">
        <w:rPr>
          <w:lang w:val="it-IT"/>
        </w:rPr>
        <w:t>QKR-ja mund të lidhë marrëveshje me institucione të</w:t>
      </w:r>
      <w:r>
        <w:rPr>
          <w:lang w:val="it-IT"/>
        </w:rPr>
        <w:t xml:space="preserve"> tj</w:t>
      </w:r>
      <w:r w:rsidRPr="008064E8">
        <w:rPr>
          <w:lang w:val="it-IT"/>
        </w:rPr>
        <w:t>era publike shqiptare për shkëmbimin e të dhë</w:t>
      </w:r>
      <w:r>
        <w:rPr>
          <w:lang w:val="it-IT"/>
        </w:rPr>
        <w:t>na</w:t>
      </w:r>
      <w:r w:rsidRPr="008064E8">
        <w:rPr>
          <w:lang w:val="it-IT"/>
        </w:rPr>
        <w:t>ve, që</w:t>
      </w:r>
      <w:r>
        <w:rPr>
          <w:lang w:val="it-IT"/>
        </w:rPr>
        <w:t xml:space="preserve"> </w:t>
      </w:r>
      <w:r w:rsidRPr="008064E8">
        <w:rPr>
          <w:lang w:val="it-IT"/>
        </w:rPr>
        <w:t>kanë të bëjnë</w:t>
      </w:r>
      <w:r>
        <w:rPr>
          <w:lang w:val="it-IT"/>
        </w:rPr>
        <w:t xml:space="preserve"> me regjis</w:t>
      </w:r>
      <w:r w:rsidRPr="008064E8">
        <w:rPr>
          <w:lang w:val="it-IT"/>
        </w:rPr>
        <w:t>trimin e subjekteve të</w:t>
      </w:r>
      <w:r>
        <w:rPr>
          <w:lang w:val="it-IT"/>
        </w:rPr>
        <w:t xml:space="preserve"> përcaktuara nga</w:t>
      </w:r>
      <w:r w:rsidRPr="008064E8">
        <w:rPr>
          <w:lang w:val="it-IT"/>
        </w:rPr>
        <w:t xml:space="preserve"> ligj</w:t>
      </w:r>
      <w:r>
        <w:rPr>
          <w:lang w:val="it-IT"/>
        </w:rPr>
        <w:t>i</w:t>
      </w:r>
      <w:r w:rsidRPr="008064E8">
        <w:rPr>
          <w:lang w:val="it-IT"/>
        </w:rPr>
        <w:t>.</w:t>
      </w:r>
    </w:p>
    <w:p w:rsidR="004A263C" w:rsidRPr="008064E8" w:rsidRDefault="004A263C" w:rsidP="004A263C">
      <w:pPr>
        <w:pStyle w:val="Paragrafi"/>
        <w:rPr>
          <w:lang w:val="it-IT"/>
        </w:rPr>
      </w:pPr>
      <w:r w:rsidRPr="008064E8">
        <w:rPr>
          <w:lang w:val="it-IT"/>
        </w:rPr>
        <w:t>48.</w:t>
      </w:r>
      <w:r>
        <w:rPr>
          <w:lang w:val="it-IT"/>
        </w:rPr>
        <w:t xml:space="preserve"> </w:t>
      </w:r>
      <w:r w:rsidRPr="008064E8">
        <w:rPr>
          <w:lang w:val="it-IT"/>
        </w:rPr>
        <w:t>Pasaktësitë, gabim</w:t>
      </w:r>
      <w:r>
        <w:rPr>
          <w:lang w:val="it-IT"/>
        </w:rPr>
        <w:t>et teknike ose gab</w:t>
      </w:r>
      <w:r w:rsidRPr="008064E8">
        <w:rPr>
          <w:lang w:val="it-IT"/>
        </w:rPr>
        <w:t>imet e tjera, të bëra gjatë regjistrimeve, të cilat rezultojnë qartë</w:t>
      </w:r>
      <w:r>
        <w:rPr>
          <w:lang w:val="it-IT"/>
        </w:rPr>
        <w:t xml:space="preserve"> nga dokumentacioni i depozituar dhe nuk ce</w:t>
      </w:r>
      <w:r w:rsidRPr="008064E8">
        <w:rPr>
          <w:lang w:val="it-IT"/>
        </w:rPr>
        <w:t>nojnë</w:t>
      </w:r>
      <w:r>
        <w:rPr>
          <w:lang w:val="it-IT"/>
        </w:rPr>
        <w:t xml:space="preserve"> vle</w:t>
      </w:r>
      <w:r w:rsidRPr="008064E8">
        <w:rPr>
          <w:lang w:val="it-IT"/>
        </w:rPr>
        <w:t>fshmërinë</w:t>
      </w:r>
      <w:r>
        <w:rPr>
          <w:lang w:val="it-IT"/>
        </w:rPr>
        <w:t xml:space="preserve"> e regjis</w:t>
      </w:r>
      <w:r w:rsidRPr="008064E8">
        <w:rPr>
          <w:lang w:val="it-IT"/>
        </w:rPr>
        <w:t>trimit mund të korrigjohen nga vetë QKR-ja, kryesisht apo me kërkesë të personit të interesuar.</w:t>
      </w:r>
    </w:p>
    <w:p w:rsidR="004A263C" w:rsidRDefault="004A263C" w:rsidP="004A263C">
      <w:pPr>
        <w:pStyle w:val="Paragrafi"/>
        <w:rPr>
          <w:lang w:val="it-IT"/>
        </w:rPr>
      </w:pPr>
      <w:r w:rsidRPr="00915913">
        <w:rPr>
          <w:lang w:val="it-IT"/>
        </w:rPr>
        <w:t>49.</w:t>
      </w:r>
      <w:r>
        <w:rPr>
          <w:lang w:val="it-IT"/>
        </w:rPr>
        <w:t xml:space="preserve"> </w:t>
      </w:r>
      <w:r w:rsidRPr="00915913">
        <w:rPr>
          <w:lang w:val="it-IT"/>
        </w:rPr>
        <w:t>K</w:t>
      </w:r>
      <w:r>
        <w:rPr>
          <w:lang w:val="it-IT"/>
        </w:rPr>
        <w:t>ë</w:t>
      </w:r>
      <w:r w:rsidRPr="00915913">
        <w:rPr>
          <w:lang w:val="it-IT"/>
        </w:rPr>
        <w:t>rkesa p</w:t>
      </w:r>
      <w:r>
        <w:rPr>
          <w:lang w:val="it-IT"/>
        </w:rPr>
        <w:t>ë</w:t>
      </w:r>
      <w:r w:rsidRPr="00915913">
        <w:rPr>
          <w:lang w:val="it-IT"/>
        </w:rPr>
        <w:t>r korrigjimin e gabimit mund t</w:t>
      </w:r>
      <w:r>
        <w:rPr>
          <w:lang w:val="it-IT"/>
        </w:rPr>
        <w:t>ë</w:t>
      </w:r>
      <w:r w:rsidRPr="00915913">
        <w:rPr>
          <w:lang w:val="it-IT"/>
        </w:rPr>
        <w:t xml:space="preserve"> b</w:t>
      </w:r>
      <w:r>
        <w:rPr>
          <w:lang w:val="it-IT"/>
        </w:rPr>
        <w:t>ë</w:t>
      </w:r>
      <w:r w:rsidRPr="00915913">
        <w:rPr>
          <w:lang w:val="it-IT"/>
        </w:rPr>
        <w:t xml:space="preserve">het nga çdo person i interesuar. </w:t>
      </w:r>
      <w:r w:rsidRPr="008064E8">
        <w:rPr>
          <w:lang w:val="it-IT"/>
        </w:rPr>
        <w:t>Kërkesa bë</w:t>
      </w:r>
      <w:r>
        <w:rPr>
          <w:lang w:val="it-IT"/>
        </w:rPr>
        <w:t>het me aplikim, sipas</w:t>
      </w:r>
      <w:r w:rsidRPr="008064E8">
        <w:rPr>
          <w:lang w:val="it-IT"/>
        </w:rPr>
        <w:t xml:space="preserve"> formatit të miratuar. </w:t>
      </w:r>
      <w:r w:rsidRPr="00915913">
        <w:rPr>
          <w:lang w:val="it-IT"/>
        </w:rPr>
        <w:t>Aplikimi p</w:t>
      </w:r>
      <w:r>
        <w:rPr>
          <w:lang w:val="it-IT"/>
        </w:rPr>
        <w:t>ë</w:t>
      </w:r>
      <w:r w:rsidRPr="00915913">
        <w:rPr>
          <w:lang w:val="it-IT"/>
        </w:rPr>
        <w:t>r korrigjimin e gabimit paraqitet, n</w:t>
      </w:r>
      <w:r>
        <w:rPr>
          <w:lang w:val="it-IT"/>
        </w:rPr>
        <w:t>ë</w:t>
      </w:r>
      <w:r w:rsidRPr="00915913">
        <w:rPr>
          <w:lang w:val="it-IT"/>
        </w:rPr>
        <w:t xml:space="preserve"> sportelin e sh</w:t>
      </w:r>
      <w:r>
        <w:rPr>
          <w:lang w:val="it-IT"/>
        </w:rPr>
        <w:t>ërbimit, nga personi i interesua</w:t>
      </w:r>
      <w:r w:rsidRPr="00915913">
        <w:rPr>
          <w:lang w:val="it-IT"/>
        </w:rPr>
        <w:t xml:space="preserve">r. </w:t>
      </w:r>
      <w:r>
        <w:rPr>
          <w:lang w:val="it-IT"/>
        </w:rPr>
        <w:t>Aplikimi kryhet pa pagesë.</w:t>
      </w:r>
    </w:p>
    <w:p w:rsidR="004A263C" w:rsidRDefault="004A263C" w:rsidP="004A263C">
      <w:pPr>
        <w:pStyle w:val="Paragrafi"/>
        <w:rPr>
          <w:lang w:val="it-IT"/>
        </w:rPr>
      </w:pPr>
      <w:r>
        <w:rPr>
          <w:lang w:val="it-IT"/>
        </w:rPr>
        <w:t>50. Kryerja e korrigjimit dhe të dhënat e korrigjuara shpallen në Buletinin e Njoftimeve Zyrtare të regjistrimit të QKR-së dhe i njoftohen subjektit, me shkrim, në adresën e deklaruar.</w:t>
      </w:r>
    </w:p>
    <w:p w:rsidR="004A263C" w:rsidRDefault="004A263C" w:rsidP="004A263C">
      <w:pPr>
        <w:pStyle w:val="Paragrafi"/>
        <w:rPr>
          <w:lang w:val="it-IT"/>
        </w:rPr>
      </w:pPr>
      <w:r>
        <w:rPr>
          <w:lang w:val="it-IT"/>
        </w:rPr>
        <w:t>51. Ndryshimi i të dhënave të pasakta, të cilat nuk rezultojnë qartë nga dokumentacioni i depozituar ose cenojnë vlefshmërinë e regjistrimit, kryhen nëpërmjet një aplikimi të ri apo në bazë të një vendimi gjyqësor.</w:t>
      </w:r>
    </w:p>
    <w:p w:rsidR="004A263C" w:rsidRDefault="004A263C" w:rsidP="004A263C">
      <w:pPr>
        <w:pStyle w:val="Paragrafi"/>
        <w:rPr>
          <w:lang w:val="it-IT"/>
        </w:rPr>
      </w:pPr>
      <w:r>
        <w:rPr>
          <w:lang w:val="it-IT"/>
        </w:rPr>
        <w:t>52. Subjekti, i cili nuk paraqet për 2 vite me radhë bilancin kontabël vjetor, sipas parashikimit të nenit 43 të ligjit, i tërhiqet vëmendje, me shkrim, nga QKR-ja 30 ditë pas kalimit të këtij afati.</w:t>
      </w:r>
    </w:p>
    <w:p w:rsidR="004A263C" w:rsidRDefault="004A263C" w:rsidP="004A263C">
      <w:pPr>
        <w:pStyle w:val="Paragrafi"/>
        <w:rPr>
          <w:lang w:val="it-IT"/>
        </w:rPr>
      </w:pPr>
      <w:r>
        <w:rPr>
          <w:lang w:val="it-IT"/>
        </w:rPr>
        <w:t>53. Në rast se subjekti nuk e plotëson detyrimin brenda 30 ditëve nga marrja e njoftimit, por jo më vonë se 60 ditë nga data e plotësimit të afatit për paraqitjen e bilancit, subjekti kalon me vendim të QKR-së, në statusin pasiv. Në këtë rast, në të gjitha dokumentet, që lëshohen nga regjistri, do të shënohet “PASIV”.</w:t>
      </w:r>
    </w:p>
    <w:p w:rsidR="004A263C" w:rsidRDefault="004A263C" w:rsidP="004A263C">
      <w:pPr>
        <w:pStyle w:val="Paragrafi"/>
        <w:rPr>
          <w:lang w:val="it-IT"/>
        </w:rPr>
      </w:pPr>
      <w:r>
        <w:rPr>
          <w:lang w:val="it-IT"/>
        </w:rPr>
        <w:t>Vendimi për kalimin në statusin pasiv merret nga nëpunësi i autorizuar.</w:t>
      </w:r>
    </w:p>
    <w:p w:rsidR="004A263C" w:rsidRDefault="004A263C" w:rsidP="004A263C">
      <w:pPr>
        <w:pStyle w:val="Paragrafi"/>
        <w:rPr>
          <w:lang w:val="it-IT"/>
        </w:rPr>
      </w:pPr>
      <w:r>
        <w:rPr>
          <w:lang w:val="it-IT"/>
        </w:rPr>
        <w:t>54. Dispozitat e pikës 55 nuk zbatohen për subjektet, që kanë njoftuar pezullimin e veprimtarisë, në përputhje me nenin 43 të ligjit.</w:t>
      </w:r>
    </w:p>
    <w:p w:rsidR="004A263C" w:rsidRDefault="004A263C" w:rsidP="004A263C">
      <w:pPr>
        <w:pStyle w:val="Paragrafi"/>
        <w:rPr>
          <w:lang w:val="it-IT"/>
        </w:rPr>
      </w:pPr>
      <w:r>
        <w:rPr>
          <w:lang w:val="it-IT"/>
        </w:rPr>
        <w:t>55. Gjithashtu, kalojnë në statusin pasiv edhe subjektet e parashikuara në pikën 8 të nenit 75 të ligjit.</w:t>
      </w:r>
    </w:p>
    <w:p w:rsidR="004A263C" w:rsidRDefault="004A263C" w:rsidP="004A263C">
      <w:pPr>
        <w:pStyle w:val="Paragrafi"/>
        <w:rPr>
          <w:lang w:val="it-IT"/>
        </w:rPr>
      </w:pPr>
      <w:r>
        <w:rPr>
          <w:lang w:val="it-IT"/>
        </w:rPr>
        <w:t>56. Veprimi i kalimit në statusin pasiv shpallet në Buletinin e Njoftimeve Zyrtare të regjistrimit të QKR-së dhe i njoftohet subjektit, me shkrim, në adresën e deklaruar.</w:t>
      </w:r>
    </w:p>
    <w:p w:rsidR="004A263C" w:rsidRDefault="004A263C" w:rsidP="004A263C">
      <w:pPr>
        <w:pStyle w:val="Paragrafi"/>
        <w:rPr>
          <w:lang w:val="it-IT"/>
        </w:rPr>
      </w:pPr>
      <w:r>
        <w:rPr>
          <w:lang w:val="it-IT"/>
        </w:rPr>
        <w:t>57. Në përputhje me legjislacionin në fuqi, afati përfundimtar për depozitimin e bilancit vjetor kontabël dhe raportit të auditimit, sipas shkronjës “a” të nenit 43/3 të ligjit, është data 31 korrik e çdo viti.</w:t>
      </w:r>
    </w:p>
    <w:p w:rsidR="004A263C" w:rsidRPr="004310D6" w:rsidRDefault="004A263C" w:rsidP="004A263C">
      <w:pPr>
        <w:pStyle w:val="Paragrafi"/>
        <w:rPr>
          <w:lang w:val="it-IT"/>
        </w:rPr>
      </w:pPr>
      <w:r w:rsidRPr="004310D6">
        <w:rPr>
          <w:lang w:val="it-IT"/>
        </w:rPr>
        <w:t>58.</w:t>
      </w:r>
      <w:r>
        <w:rPr>
          <w:lang w:val="it-IT"/>
        </w:rPr>
        <w:t xml:space="preserve"> </w:t>
      </w:r>
      <w:r w:rsidRPr="004310D6">
        <w:rPr>
          <w:lang w:val="it-IT"/>
        </w:rPr>
        <w:t>Subjekti, i</w:t>
      </w:r>
      <w:r>
        <w:rPr>
          <w:lang w:val="it-IT"/>
        </w:rPr>
        <w:t xml:space="preserve"> </w:t>
      </w:r>
      <w:r w:rsidRPr="004310D6">
        <w:rPr>
          <w:lang w:val="it-IT"/>
        </w:rPr>
        <w:t>kaluar n</w:t>
      </w:r>
      <w:r>
        <w:rPr>
          <w:lang w:val="it-IT"/>
        </w:rPr>
        <w:t>ë s</w:t>
      </w:r>
      <w:r w:rsidRPr="004310D6">
        <w:rPr>
          <w:lang w:val="it-IT"/>
        </w:rPr>
        <w:t>tatusin pasiv, sipas para</w:t>
      </w:r>
      <w:r>
        <w:rPr>
          <w:lang w:val="it-IT"/>
        </w:rPr>
        <w:t>s</w:t>
      </w:r>
      <w:r w:rsidRPr="004310D6">
        <w:rPr>
          <w:lang w:val="it-IT"/>
        </w:rPr>
        <w:t>hikimit t</w:t>
      </w:r>
      <w:r>
        <w:rPr>
          <w:lang w:val="it-IT"/>
        </w:rPr>
        <w:t>ë nenit 46</w:t>
      </w:r>
      <w:r w:rsidRPr="004310D6">
        <w:rPr>
          <w:lang w:val="it-IT"/>
        </w:rPr>
        <w:t xml:space="preserve"> t</w:t>
      </w:r>
      <w:r>
        <w:rPr>
          <w:lang w:val="it-IT"/>
        </w:rPr>
        <w:t>ë</w:t>
      </w:r>
      <w:r w:rsidRPr="004310D6">
        <w:rPr>
          <w:lang w:val="it-IT"/>
        </w:rPr>
        <w:t xml:space="preserve"> ligjit, mund t</w:t>
      </w:r>
      <w:r>
        <w:rPr>
          <w:lang w:val="it-IT"/>
        </w:rPr>
        <w:t>ë</w:t>
      </w:r>
      <w:r w:rsidRPr="004310D6">
        <w:rPr>
          <w:lang w:val="it-IT"/>
        </w:rPr>
        <w:t xml:space="preserve"> k</w:t>
      </w:r>
      <w:r>
        <w:rPr>
          <w:lang w:val="it-IT"/>
        </w:rPr>
        <w:t>ë</w:t>
      </w:r>
      <w:r w:rsidRPr="004310D6">
        <w:rPr>
          <w:lang w:val="it-IT"/>
        </w:rPr>
        <w:t>rkoj</w:t>
      </w:r>
      <w:r>
        <w:rPr>
          <w:lang w:val="it-IT"/>
        </w:rPr>
        <w:t>ë</w:t>
      </w:r>
      <w:r w:rsidRPr="004310D6">
        <w:rPr>
          <w:lang w:val="it-IT"/>
        </w:rPr>
        <w:t xml:space="preserve"> </w:t>
      </w:r>
      <w:r w:rsidRPr="004310D6">
        <w:rPr>
          <w:lang w:val="it-IT"/>
        </w:rPr>
        <w:lastRenderedPageBreak/>
        <w:t>n</w:t>
      </w:r>
      <w:r>
        <w:rPr>
          <w:lang w:val="it-IT"/>
        </w:rPr>
        <w:t>ë</w:t>
      </w:r>
      <w:r w:rsidRPr="004310D6">
        <w:rPr>
          <w:lang w:val="it-IT"/>
        </w:rPr>
        <w:t xml:space="preserve"> çdo koh</w:t>
      </w:r>
      <w:r>
        <w:rPr>
          <w:lang w:val="it-IT"/>
        </w:rPr>
        <w:t>ë</w:t>
      </w:r>
      <w:r w:rsidRPr="004310D6">
        <w:rPr>
          <w:lang w:val="it-IT"/>
        </w:rPr>
        <w:t xml:space="preserve"> heqjen e k</w:t>
      </w:r>
      <w:r>
        <w:rPr>
          <w:lang w:val="it-IT"/>
        </w:rPr>
        <w:t>ë</w:t>
      </w:r>
      <w:r w:rsidRPr="004310D6">
        <w:rPr>
          <w:lang w:val="it-IT"/>
        </w:rPr>
        <w:t>tij statusi, duke paraqitur n</w:t>
      </w:r>
      <w:r>
        <w:rPr>
          <w:lang w:val="it-IT"/>
        </w:rPr>
        <w:t>ë</w:t>
      </w:r>
      <w:r w:rsidRPr="004310D6">
        <w:rPr>
          <w:lang w:val="it-IT"/>
        </w:rPr>
        <w:t xml:space="preserve"> sportelin e sh</w:t>
      </w:r>
      <w:r>
        <w:rPr>
          <w:lang w:val="it-IT"/>
        </w:rPr>
        <w:t>ë</w:t>
      </w:r>
      <w:r w:rsidRPr="004310D6">
        <w:rPr>
          <w:lang w:val="it-IT"/>
        </w:rPr>
        <w:t>rbimit t</w:t>
      </w:r>
      <w:r>
        <w:rPr>
          <w:lang w:val="it-IT"/>
        </w:rPr>
        <w:t>ë</w:t>
      </w:r>
      <w:r w:rsidRPr="004310D6">
        <w:rPr>
          <w:lang w:val="it-IT"/>
        </w:rPr>
        <w:t xml:space="preserve"> QKR-s</w:t>
      </w:r>
      <w:r>
        <w:rPr>
          <w:lang w:val="it-IT"/>
        </w:rPr>
        <w:t>ë</w:t>
      </w:r>
      <w:r w:rsidRPr="004310D6">
        <w:rPr>
          <w:lang w:val="it-IT"/>
        </w:rPr>
        <w:t xml:space="preserve"> aplikimin, sipas formatit t</w:t>
      </w:r>
      <w:r>
        <w:rPr>
          <w:lang w:val="it-IT"/>
        </w:rPr>
        <w:t xml:space="preserve">ë </w:t>
      </w:r>
      <w:r w:rsidRPr="004310D6">
        <w:rPr>
          <w:lang w:val="it-IT"/>
        </w:rPr>
        <w:t>mira</w:t>
      </w:r>
      <w:r>
        <w:rPr>
          <w:lang w:val="it-IT"/>
        </w:rPr>
        <w:t>t</w:t>
      </w:r>
      <w:r w:rsidRPr="004310D6">
        <w:rPr>
          <w:lang w:val="it-IT"/>
        </w:rPr>
        <w:t>uar s</w:t>
      </w:r>
      <w:r>
        <w:rPr>
          <w:lang w:val="it-IT"/>
        </w:rPr>
        <w:t>ë bashku me bi</w:t>
      </w:r>
      <w:r w:rsidRPr="004310D6">
        <w:rPr>
          <w:lang w:val="it-IT"/>
        </w:rPr>
        <w:t>l</w:t>
      </w:r>
      <w:r>
        <w:rPr>
          <w:lang w:val="it-IT"/>
        </w:rPr>
        <w:t>a</w:t>
      </w:r>
      <w:r w:rsidRPr="004310D6">
        <w:rPr>
          <w:lang w:val="it-IT"/>
        </w:rPr>
        <w:t>ncet e pad</w:t>
      </w:r>
      <w:r>
        <w:rPr>
          <w:lang w:val="it-IT"/>
        </w:rPr>
        <w:t>o</w:t>
      </w:r>
      <w:r w:rsidRPr="004310D6">
        <w:rPr>
          <w:lang w:val="it-IT"/>
        </w:rPr>
        <w:t>r</w:t>
      </w:r>
      <w:r>
        <w:rPr>
          <w:lang w:val="it-IT"/>
        </w:rPr>
        <w:t>ë</w:t>
      </w:r>
      <w:r w:rsidRPr="004310D6">
        <w:rPr>
          <w:lang w:val="it-IT"/>
        </w:rPr>
        <w:t>zuara, si dhe pas shlyerjes t</w:t>
      </w:r>
      <w:r>
        <w:rPr>
          <w:lang w:val="it-IT"/>
        </w:rPr>
        <w:t>ë</w:t>
      </w:r>
      <w:r w:rsidRPr="004310D6">
        <w:rPr>
          <w:lang w:val="it-IT"/>
        </w:rPr>
        <w:t xml:space="preserve"> t</w:t>
      </w:r>
      <w:r>
        <w:rPr>
          <w:lang w:val="it-IT"/>
        </w:rPr>
        <w:t>ë</w:t>
      </w:r>
      <w:r w:rsidRPr="004310D6">
        <w:rPr>
          <w:lang w:val="it-IT"/>
        </w:rPr>
        <w:t xml:space="preserve"> gjitha sanksio</w:t>
      </w:r>
      <w:r>
        <w:rPr>
          <w:lang w:val="it-IT"/>
        </w:rPr>
        <w:t>n</w:t>
      </w:r>
      <w:r w:rsidRPr="004310D6">
        <w:rPr>
          <w:lang w:val="it-IT"/>
        </w:rPr>
        <w:t>eve p</w:t>
      </w:r>
      <w:r>
        <w:rPr>
          <w:lang w:val="it-IT"/>
        </w:rPr>
        <w:t>ë</w:t>
      </w:r>
      <w:r w:rsidRPr="004310D6">
        <w:rPr>
          <w:lang w:val="it-IT"/>
        </w:rPr>
        <w:t>rkat</w:t>
      </w:r>
      <w:r>
        <w:rPr>
          <w:lang w:val="it-IT"/>
        </w:rPr>
        <w:t>ë</w:t>
      </w:r>
      <w:r w:rsidRPr="004310D6">
        <w:rPr>
          <w:lang w:val="it-IT"/>
        </w:rPr>
        <w:t>se.</w:t>
      </w:r>
    </w:p>
    <w:p w:rsidR="004A263C" w:rsidRPr="004310D6" w:rsidRDefault="004A263C" w:rsidP="004A263C">
      <w:pPr>
        <w:pStyle w:val="Paragrafi"/>
        <w:rPr>
          <w:lang w:val="it-IT"/>
        </w:rPr>
      </w:pPr>
      <w:r w:rsidRPr="004310D6">
        <w:rPr>
          <w:lang w:val="it-IT"/>
        </w:rPr>
        <w:t>59.</w:t>
      </w:r>
      <w:r>
        <w:rPr>
          <w:lang w:val="it-IT"/>
        </w:rPr>
        <w:t xml:space="preserve"> </w:t>
      </w:r>
      <w:r w:rsidRPr="004310D6">
        <w:rPr>
          <w:lang w:val="it-IT"/>
        </w:rPr>
        <w:t>Subjekti i</w:t>
      </w:r>
      <w:r>
        <w:rPr>
          <w:lang w:val="it-IT"/>
        </w:rPr>
        <w:t xml:space="preserve"> </w:t>
      </w:r>
      <w:r w:rsidRPr="004310D6">
        <w:rPr>
          <w:lang w:val="it-IT"/>
        </w:rPr>
        <w:t>kaluar n</w:t>
      </w:r>
      <w:r>
        <w:rPr>
          <w:lang w:val="it-IT"/>
        </w:rPr>
        <w:t>ë</w:t>
      </w:r>
      <w:r w:rsidRPr="004310D6">
        <w:rPr>
          <w:lang w:val="it-IT"/>
        </w:rPr>
        <w:t xml:space="preserve"> statusin pasiv, sipas pik</w:t>
      </w:r>
      <w:r>
        <w:rPr>
          <w:lang w:val="it-IT"/>
        </w:rPr>
        <w:t>ës 8</w:t>
      </w:r>
      <w:r w:rsidRPr="004310D6">
        <w:rPr>
          <w:lang w:val="it-IT"/>
        </w:rPr>
        <w:t xml:space="preserve"> t</w:t>
      </w:r>
      <w:r>
        <w:rPr>
          <w:lang w:val="it-IT"/>
        </w:rPr>
        <w:t>ë nenit 75</w:t>
      </w:r>
      <w:r w:rsidRPr="004310D6">
        <w:rPr>
          <w:lang w:val="it-IT"/>
        </w:rPr>
        <w:t xml:space="preserve"> t</w:t>
      </w:r>
      <w:r>
        <w:rPr>
          <w:lang w:val="it-IT"/>
        </w:rPr>
        <w:t>ë ligjit</w:t>
      </w:r>
      <w:r w:rsidRPr="004310D6">
        <w:rPr>
          <w:lang w:val="it-IT"/>
        </w:rPr>
        <w:t>, mund t</w:t>
      </w:r>
      <w:r>
        <w:rPr>
          <w:lang w:val="it-IT"/>
        </w:rPr>
        <w:t xml:space="preserve">ë </w:t>
      </w:r>
      <w:r w:rsidRPr="004310D6">
        <w:rPr>
          <w:lang w:val="it-IT"/>
        </w:rPr>
        <w:t>k</w:t>
      </w:r>
      <w:r>
        <w:rPr>
          <w:lang w:val="it-IT"/>
        </w:rPr>
        <w:t>ërkojë</w:t>
      </w:r>
      <w:r w:rsidRPr="004310D6">
        <w:rPr>
          <w:lang w:val="it-IT"/>
        </w:rPr>
        <w:t xml:space="preserve"> n</w:t>
      </w:r>
      <w:r>
        <w:rPr>
          <w:lang w:val="it-IT"/>
        </w:rPr>
        <w:t>ë</w:t>
      </w:r>
      <w:r w:rsidRPr="004310D6">
        <w:rPr>
          <w:lang w:val="it-IT"/>
        </w:rPr>
        <w:t xml:space="preserve"> çdo koh</w:t>
      </w:r>
      <w:r>
        <w:rPr>
          <w:lang w:val="it-IT"/>
        </w:rPr>
        <w:t>ë</w:t>
      </w:r>
      <w:r w:rsidRPr="004310D6">
        <w:rPr>
          <w:lang w:val="it-IT"/>
        </w:rPr>
        <w:t>, heqjen e k</w:t>
      </w:r>
      <w:r>
        <w:rPr>
          <w:lang w:val="it-IT"/>
        </w:rPr>
        <w:t>ë</w:t>
      </w:r>
      <w:r w:rsidRPr="004310D6">
        <w:rPr>
          <w:lang w:val="it-IT"/>
        </w:rPr>
        <w:t>tij statusi duke paraqitur n</w:t>
      </w:r>
      <w:r>
        <w:rPr>
          <w:lang w:val="it-IT"/>
        </w:rPr>
        <w:t>ë</w:t>
      </w:r>
      <w:r w:rsidRPr="004310D6">
        <w:rPr>
          <w:lang w:val="it-IT"/>
        </w:rPr>
        <w:t xml:space="preserve"> sportelin e sh</w:t>
      </w:r>
      <w:r>
        <w:rPr>
          <w:lang w:val="it-IT"/>
        </w:rPr>
        <w:t>ë</w:t>
      </w:r>
      <w:r w:rsidRPr="004310D6">
        <w:rPr>
          <w:lang w:val="it-IT"/>
        </w:rPr>
        <w:t>rbimit t</w:t>
      </w:r>
      <w:r>
        <w:rPr>
          <w:lang w:val="it-IT"/>
        </w:rPr>
        <w:t xml:space="preserve">ë </w:t>
      </w:r>
      <w:r w:rsidRPr="004310D6">
        <w:rPr>
          <w:lang w:val="it-IT"/>
        </w:rPr>
        <w:t>QKR-s</w:t>
      </w:r>
      <w:r>
        <w:rPr>
          <w:lang w:val="it-IT"/>
        </w:rPr>
        <w:t>ë</w:t>
      </w:r>
      <w:r w:rsidRPr="004310D6">
        <w:rPr>
          <w:lang w:val="it-IT"/>
        </w:rPr>
        <w:t xml:space="preserve"> aplikimin, sipas formatit t</w:t>
      </w:r>
      <w:r>
        <w:rPr>
          <w:lang w:val="it-IT"/>
        </w:rPr>
        <w:t xml:space="preserve">ë </w:t>
      </w:r>
      <w:r w:rsidRPr="004310D6">
        <w:rPr>
          <w:lang w:val="it-IT"/>
        </w:rPr>
        <w:t xml:space="preserve">miratuar, </w:t>
      </w:r>
      <w:r>
        <w:rPr>
          <w:lang w:val="it-IT"/>
        </w:rPr>
        <w:t>së</w:t>
      </w:r>
      <w:r w:rsidRPr="004310D6">
        <w:rPr>
          <w:lang w:val="it-IT"/>
        </w:rPr>
        <w:t xml:space="preserve"> bashku me njoftimin e t</w:t>
      </w:r>
      <w:r>
        <w:rPr>
          <w:lang w:val="it-IT"/>
        </w:rPr>
        <w:t>ë</w:t>
      </w:r>
      <w:r w:rsidRPr="004310D6">
        <w:rPr>
          <w:lang w:val="it-IT"/>
        </w:rPr>
        <w:t xml:space="preserve"> dh</w:t>
      </w:r>
      <w:r>
        <w:rPr>
          <w:lang w:val="it-IT"/>
        </w:rPr>
        <w:t>ë</w:t>
      </w:r>
      <w:r w:rsidRPr="004310D6">
        <w:rPr>
          <w:lang w:val="it-IT"/>
        </w:rPr>
        <w:t>nave t</w:t>
      </w:r>
      <w:r>
        <w:rPr>
          <w:lang w:val="it-IT"/>
        </w:rPr>
        <w:t xml:space="preserve">ë </w:t>
      </w:r>
      <w:r w:rsidRPr="004310D6">
        <w:rPr>
          <w:lang w:val="it-IT"/>
        </w:rPr>
        <w:t>munguara.</w:t>
      </w:r>
    </w:p>
    <w:p w:rsidR="004A263C" w:rsidRDefault="004A263C" w:rsidP="004A263C">
      <w:pPr>
        <w:pStyle w:val="Paragrafi"/>
        <w:rPr>
          <w:lang w:val="it-IT"/>
        </w:rPr>
      </w:pPr>
      <w:r>
        <w:rPr>
          <w:lang w:val="it-IT"/>
        </w:rPr>
        <w:t>60. Veprimi i heqjes nga statusi pasiv shpallet në Buletinin e Njoftimeve Zyrtare të Regjistrimit të QKR-së.</w:t>
      </w:r>
    </w:p>
    <w:p w:rsidR="004A263C" w:rsidRDefault="004A263C" w:rsidP="004A263C">
      <w:pPr>
        <w:pStyle w:val="Paragrafi"/>
        <w:rPr>
          <w:lang w:val="it-IT"/>
        </w:rPr>
      </w:pPr>
      <w:r>
        <w:rPr>
          <w:lang w:val="it-IT"/>
        </w:rPr>
        <w:t xml:space="preserve">61. </w:t>
      </w:r>
      <w:r w:rsidRPr="004310D6">
        <w:rPr>
          <w:lang w:val="it-IT"/>
        </w:rPr>
        <w:t>Çdo veprim i kryer n</w:t>
      </w:r>
      <w:r>
        <w:rPr>
          <w:lang w:val="it-IT"/>
        </w:rPr>
        <w:t>ë</w:t>
      </w:r>
      <w:r w:rsidRPr="004310D6">
        <w:rPr>
          <w:lang w:val="it-IT"/>
        </w:rPr>
        <w:t xml:space="preserve"> regjist</w:t>
      </w:r>
      <w:r>
        <w:rPr>
          <w:lang w:val="it-IT"/>
        </w:rPr>
        <w:t>ë</w:t>
      </w:r>
      <w:r w:rsidRPr="004310D6">
        <w:rPr>
          <w:lang w:val="it-IT"/>
        </w:rPr>
        <w:t>r nga QKR-ja, n</w:t>
      </w:r>
      <w:r>
        <w:rPr>
          <w:lang w:val="it-IT"/>
        </w:rPr>
        <w:t>ë</w:t>
      </w:r>
      <w:r w:rsidRPr="004310D6">
        <w:rPr>
          <w:lang w:val="it-IT"/>
        </w:rPr>
        <w:t xml:space="preserve"> p</w:t>
      </w:r>
      <w:r>
        <w:rPr>
          <w:lang w:val="it-IT"/>
        </w:rPr>
        <w:t>ë</w:t>
      </w:r>
      <w:r w:rsidRPr="004310D6">
        <w:rPr>
          <w:lang w:val="it-IT"/>
        </w:rPr>
        <w:t>rputhje me ligjin dhe</w:t>
      </w:r>
      <w:r>
        <w:rPr>
          <w:lang w:val="it-IT"/>
        </w:rPr>
        <w:t xml:space="preserve"> </w:t>
      </w:r>
      <w:r w:rsidRPr="004310D6">
        <w:rPr>
          <w:lang w:val="it-IT"/>
        </w:rPr>
        <w:t>me dispozitat e k</w:t>
      </w:r>
      <w:r>
        <w:rPr>
          <w:lang w:val="it-IT"/>
        </w:rPr>
        <w:t>ë</w:t>
      </w:r>
      <w:r w:rsidRPr="004310D6">
        <w:rPr>
          <w:lang w:val="it-IT"/>
        </w:rPr>
        <w:t>tij vendimi, si dhe pamja e plot</w:t>
      </w:r>
      <w:r>
        <w:rPr>
          <w:lang w:val="it-IT"/>
        </w:rPr>
        <w:t>ë</w:t>
      </w:r>
      <w:r w:rsidRPr="004310D6">
        <w:rPr>
          <w:lang w:val="it-IT"/>
        </w:rPr>
        <w:t xml:space="preserve"> elektronike e </w:t>
      </w:r>
      <w:r>
        <w:rPr>
          <w:lang w:val="it-IT"/>
        </w:rPr>
        <w:t>çdo dokumenti shoqërues pasqyrohen, në mënyrë elektronike, në regjistrin tregtar.</w:t>
      </w:r>
    </w:p>
    <w:p w:rsidR="004A263C" w:rsidRDefault="004A263C" w:rsidP="004A263C">
      <w:pPr>
        <w:pStyle w:val="Paragrafi"/>
        <w:rPr>
          <w:lang w:val="it-IT"/>
        </w:rPr>
      </w:pPr>
      <w:r>
        <w:rPr>
          <w:lang w:val="it-IT"/>
        </w:rPr>
        <w:t>62. Pasqyrimi në regjistrin tregtar i veprimeve të kryera nga QKR-ja bëhet në çastin e regjistrimit, sipas parashikimeve të ligjit.</w:t>
      </w:r>
    </w:p>
    <w:p w:rsidR="004A263C" w:rsidRDefault="004A263C" w:rsidP="004A263C">
      <w:pPr>
        <w:pStyle w:val="Paragrafi"/>
        <w:rPr>
          <w:lang w:val="it-IT"/>
        </w:rPr>
      </w:pPr>
      <w:r>
        <w:rPr>
          <w:lang w:val="it-IT"/>
        </w:rPr>
        <w:t>63. Çdo veprim i kryer në regjistër, si dhe pamja e plotë elektronike e çdo dokumenti shoqërues janë lirisht të aksesueshëm për publikun, në faqen zyrtare të internetit të QKR-së. Përbën përjashtim aksesi në të dhënat për adresën e individëve.</w:t>
      </w:r>
    </w:p>
    <w:p w:rsidR="004A263C" w:rsidRDefault="004A263C" w:rsidP="004A263C">
      <w:pPr>
        <w:pStyle w:val="Paragrafi"/>
        <w:rPr>
          <w:lang w:val="it-IT"/>
        </w:rPr>
      </w:pPr>
      <w:r>
        <w:rPr>
          <w:lang w:val="it-IT"/>
        </w:rPr>
        <w:t>64. QKR-ja mundëson kryerjen e kërkimeve nga publiku në bazën elektronike të të dhënave pranë çdo sporteli shërbimi.</w:t>
      </w:r>
    </w:p>
    <w:p w:rsidR="004A263C" w:rsidRPr="004310D6" w:rsidRDefault="004A263C" w:rsidP="004A263C">
      <w:pPr>
        <w:pStyle w:val="Paragrafi"/>
        <w:rPr>
          <w:lang w:val="it-IT"/>
        </w:rPr>
      </w:pPr>
      <w:r>
        <w:rPr>
          <w:lang w:val="it-IT"/>
        </w:rPr>
        <w:t>65. Gjithashtu</w:t>
      </w:r>
      <w:r w:rsidRPr="004310D6">
        <w:rPr>
          <w:lang w:val="it-IT"/>
        </w:rPr>
        <w:t>, QKR-ja</w:t>
      </w:r>
      <w:r>
        <w:rPr>
          <w:lang w:val="it-IT"/>
        </w:rPr>
        <w:t xml:space="preserve"> i</w:t>
      </w:r>
      <w:r w:rsidRPr="004310D6">
        <w:rPr>
          <w:lang w:val="it-IT"/>
        </w:rPr>
        <w:t xml:space="preserve"> mund</w:t>
      </w:r>
      <w:r>
        <w:rPr>
          <w:lang w:val="it-IT"/>
        </w:rPr>
        <w:t>ë</w:t>
      </w:r>
      <w:r w:rsidRPr="004310D6">
        <w:rPr>
          <w:lang w:val="it-IT"/>
        </w:rPr>
        <w:t>son çdo aplikanti k</w:t>
      </w:r>
      <w:r>
        <w:rPr>
          <w:lang w:val="it-IT"/>
        </w:rPr>
        <w:t>ë</w:t>
      </w:r>
      <w:r w:rsidRPr="004310D6">
        <w:rPr>
          <w:lang w:val="it-IT"/>
        </w:rPr>
        <w:t>rkimin n</w:t>
      </w:r>
      <w:r>
        <w:rPr>
          <w:lang w:val="it-IT"/>
        </w:rPr>
        <w:t>ë</w:t>
      </w:r>
      <w:r w:rsidRPr="004310D6">
        <w:rPr>
          <w:lang w:val="it-IT"/>
        </w:rPr>
        <w:t xml:space="preserve"> faqen zyrtare t</w:t>
      </w:r>
      <w:r>
        <w:rPr>
          <w:lang w:val="it-IT"/>
        </w:rPr>
        <w:t xml:space="preserve">ë </w:t>
      </w:r>
      <w:r w:rsidRPr="004310D6">
        <w:rPr>
          <w:lang w:val="it-IT"/>
        </w:rPr>
        <w:t>internetit t</w:t>
      </w:r>
      <w:r>
        <w:rPr>
          <w:lang w:val="it-IT"/>
        </w:rPr>
        <w:t>ë</w:t>
      </w:r>
      <w:r w:rsidRPr="004310D6">
        <w:rPr>
          <w:lang w:val="it-IT"/>
        </w:rPr>
        <w:t xml:space="preserve"> gjendjes n</w:t>
      </w:r>
      <w:r>
        <w:rPr>
          <w:lang w:val="it-IT"/>
        </w:rPr>
        <w:t xml:space="preserve">ë </w:t>
      </w:r>
      <w:r w:rsidRPr="004310D6">
        <w:rPr>
          <w:lang w:val="it-IT"/>
        </w:rPr>
        <w:t>t</w:t>
      </w:r>
      <w:r>
        <w:rPr>
          <w:lang w:val="it-IT"/>
        </w:rPr>
        <w:t>ë</w:t>
      </w:r>
      <w:r w:rsidRPr="004310D6">
        <w:rPr>
          <w:lang w:val="it-IT"/>
        </w:rPr>
        <w:t xml:space="preserve"> cil</w:t>
      </w:r>
      <w:r>
        <w:rPr>
          <w:lang w:val="it-IT"/>
        </w:rPr>
        <w:t>ë</w:t>
      </w:r>
      <w:r w:rsidRPr="004310D6">
        <w:rPr>
          <w:lang w:val="it-IT"/>
        </w:rPr>
        <w:t>n ndodhet procesi i regjistrimit t</w:t>
      </w:r>
      <w:r>
        <w:rPr>
          <w:lang w:val="it-IT"/>
        </w:rPr>
        <w:t>ë</w:t>
      </w:r>
      <w:r w:rsidRPr="004310D6">
        <w:rPr>
          <w:lang w:val="it-IT"/>
        </w:rPr>
        <w:t xml:space="preserve"> aplikimit t</w:t>
      </w:r>
      <w:r>
        <w:rPr>
          <w:lang w:val="it-IT"/>
        </w:rPr>
        <w:t xml:space="preserve">ë </w:t>
      </w:r>
      <w:r w:rsidRPr="004310D6">
        <w:rPr>
          <w:lang w:val="it-IT"/>
        </w:rPr>
        <w:t>tij, n</w:t>
      </w:r>
      <w:r>
        <w:rPr>
          <w:lang w:val="it-IT"/>
        </w:rPr>
        <w:t>ë</w:t>
      </w:r>
      <w:r w:rsidRPr="004310D6">
        <w:rPr>
          <w:lang w:val="it-IT"/>
        </w:rPr>
        <w:t>p</w:t>
      </w:r>
      <w:r>
        <w:rPr>
          <w:lang w:val="it-IT"/>
        </w:rPr>
        <w:t>ë</w:t>
      </w:r>
      <w:r w:rsidRPr="004310D6">
        <w:rPr>
          <w:lang w:val="it-IT"/>
        </w:rPr>
        <w:t>rmjet p</w:t>
      </w:r>
      <w:r>
        <w:rPr>
          <w:lang w:val="it-IT"/>
        </w:rPr>
        <w:t>ë</w:t>
      </w:r>
      <w:r w:rsidRPr="004310D6">
        <w:rPr>
          <w:lang w:val="it-IT"/>
        </w:rPr>
        <w:t>rdorimit t</w:t>
      </w:r>
      <w:r>
        <w:rPr>
          <w:lang w:val="it-IT"/>
        </w:rPr>
        <w:t>ë</w:t>
      </w:r>
      <w:r w:rsidRPr="004310D6">
        <w:rPr>
          <w:lang w:val="it-IT"/>
        </w:rPr>
        <w:t xml:space="preserve"> numrit t</w:t>
      </w:r>
      <w:r>
        <w:rPr>
          <w:lang w:val="it-IT"/>
        </w:rPr>
        <w:t>ë</w:t>
      </w:r>
      <w:r w:rsidRPr="004310D6">
        <w:rPr>
          <w:lang w:val="it-IT"/>
        </w:rPr>
        <w:t xml:space="preserve"> dh</w:t>
      </w:r>
      <w:r>
        <w:rPr>
          <w:lang w:val="it-IT"/>
        </w:rPr>
        <w:t>ë</w:t>
      </w:r>
      <w:r w:rsidRPr="004310D6">
        <w:rPr>
          <w:lang w:val="it-IT"/>
        </w:rPr>
        <w:t>n</w:t>
      </w:r>
      <w:r>
        <w:rPr>
          <w:lang w:val="it-IT"/>
        </w:rPr>
        <w:t>ë</w:t>
      </w:r>
      <w:r w:rsidRPr="004310D6">
        <w:rPr>
          <w:lang w:val="it-IT"/>
        </w:rPr>
        <w:t>, sipas pik</w:t>
      </w:r>
      <w:r>
        <w:rPr>
          <w:lang w:val="it-IT"/>
        </w:rPr>
        <w:t>ës 20</w:t>
      </w:r>
      <w:r w:rsidRPr="004310D6">
        <w:rPr>
          <w:lang w:val="it-IT"/>
        </w:rPr>
        <w:t xml:space="preserve"> t</w:t>
      </w:r>
      <w:r>
        <w:rPr>
          <w:lang w:val="it-IT"/>
        </w:rPr>
        <w:t xml:space="preserve">ë </w:t>
      </w:r>
      <w:r w:rsidRPr="004310D6">
        <w:rPr>
          <w:lang w:val="it-IT"/>
        </w:rPr>
        <w:t>k</w:t>
      </w:r>
      <w:r>
        <w:rPr>
          <w:lang w:val="it-IT"/>
        </w:rPr>
        <w:t>ë</w:t>
      </w:r>
      <w:r w:rsidRPr="004310D6">
        <w:rPr>
          <w:lang w:val="it-IT"/>
        </w:rPr>
        <w:t>tij vendimi.</w:t>
      </w:r>
    </w:p>
    <w:p w:rsidR="004A263C" w:rsidRDefault="004A263C" w:rsidP="004A263C">
      <w:pPr>
        <w:pStyle w:val="Paragrafi"/>
        <w:rPr>
          <w:lang w:val="it-IT"/>
        </w:rPr>
      </w:pPr>
      <w:r>
        <w:rPr>
          <w:lang w:val="it-IT"/>
        </w:rPr>
        <w:t>66. Çdo person ka të drejtë të kërkojë lëshimin e ekstrakteve për një pjesë apo për të gjitha të dhënat e regjistruara, si dhe kopje të vërtetuara të dokumenteve shoqëruese, të depozituara në regjistër, pranë çdo sporteli shërbimi të QKR-së.</w:t>
      </w:r>
    </w:p>
    <w:p w:rsidR="004A263C" w:rsidRDefault="004A263C" w:rsidP="004A263C">
      <w:pPr>
        <w:pStyle w:val="Paragrafi"/>
        <w:rPr>
          <w:lang w:val="it-IT"/>
        </w:rPr>
      </w:pPr>
      <w:r>
        <w:rPr>
          <w:lang w:val="it-IT"/>
        </w:rPr>
        <w:t>67. Ekstrakte mund të lëshohen për të dhëna të caktuara të subjekteve, dhe/ose për historikun e veprimeve të kryera nga një subjekt.</w:t>
      </w:r>
    </w:p>
    <w:p w:rsidR="004A263C" w:rsidRDefault="004A263C" w:rsidP="004A263C">
      <w:pPr>
        <w:pStyle w:val="Paragrafi"/>
        <w:rPr>
          <w:lang w:val="it-IT"/>
        </w:rPr>
      </w:pPr>
      <w:r>
        <w:rPr>
          <w:lang w:val="it-IT"/>
        </w:rPr>
        <w:t>68. Të dhënat për adresën e individëve, sipas pikës 67 të këtij vendimi, janë të aksesueshme vetëm në bazë të një kërkese, që përmban identitetin e kërkuesit.</w:t>
      </w:r>
    </w:p>
    <w:p w:rsidR="004A263C" w:rsidRPr="008064E8" w:rsidRDefault="004A263C" w:rsidP="004A263C">
      <w:pPr>
        <w:pStyle w:val="Paragrafi"/>
        <w:rPr>
          <w:lang w:val="it-IT"/>
        </w:rPr>
      </w:pPr>
      <w:r w:rsidRPr="008064E8">
        <w:rPr>
          <w:lang w:val="it-IT"/>
        </w:rPr>
        <w:t>69.</w:t>
      </w:r>
      <w:r>
        <w:rPr>
          <w:lang w:val="it-IT"/>
        </w:rPr>
        <w:t xml:space="preserve"> </w:t>
      </w:r>
      <w:r w:rsidRPr="008064E8">
        <w:rPr>
          <w:lang w:val="it-IT"/>
        </w:rPr>
        <w:t>Ekstraktet dhe kërkes</w:t>
      </w:r>
      <w:r>
        <w:rPr>
          <w:lang w:val="it-IT"/>
        </w:rPr>
        <w:t>a</w:t>
      </w:r>
      <w:r w:rsidRPr="008064E8">
        <w:rPr>
          <w:lang w:val="it-IT"/>
        </w:rPr>
        <w:t>t për lëshimin e tyre bëhen sipas formatit të miratuar.</w:t>
      </w:r>
    </w:p>
    <w:p w:rsidR="004A263C" w:rsidRPr="008064E8" w:rsidRDefault="004A263C" w:rsidP="004A263C">
      <w:pPr>
        <w:pStyle w:val="Paragrafi"/>
        <w:rPr>
          <w:lang w:val="it-IT"/>
        </w:rPr>
      </w:pPr>
      <w:r w:rsidRPr="008064E8">
        <w:rPr>
          <w:lang w:val="it-IT"/>
        </w:rPr>
        <w:t>70.</w:t>
      </w:r>
      <w:r>
        <w:rPr>
          <w:lang w:val="it-IT"/>
        </w:rPr>
        <w:t xml:space="preserve"> </w:t>
      </w:r>
      <w:r w:rsidRPr="008064E8">
        <w:rPr>
          <w:lang w:val="it-IT"/>
        </w:rPr>
        <w:t>QKR-ja lëshon ekstraktin menjëherë në sportel, me paraqitjen e kërkesës përkatëse.</w:t>
      </w:r>
    </w:p>
    <w:p w:rsidR="004A263C" w:rsidRPr="008064E8" w:rsidRDefault="004A263C" w:rsidP="004A263C">
      <w:pPr>
        <w:pStyle w:val="Paragrafi"/>
        <w:rPr>
          <w:lang w:val="it-IT"/>
        </w:rPr>
      </w:pPr>
      <w:r w:rsidRPr="008064E8">
        <w:rPr>
          <w:lang w:val="it-IT"/>
        </w:rPr>
        <w:t>Ky vendim hyn në</w:t>
      </w:r>
      <w:r>
        <w:rPr>
          <w:lang w:val="it-IT"/>
        </w:rPr>
        <w:t xml:space="preserve"> f</w:t>
      </w:r>
      <w:r w:rsidRPr="008064E8">
        <w:rPr>
          <w:lang w:val="it-IT"/>
        </w:rPr>
        <w:t>uqi pas botimit në Fletoren Zyrtare.</w:t>
      </w:r>
    </w:p>
    <w:p w:rsidR="004A263C" w:rsidRPr="008064E8" w:rsidRDefault="004A263C" w:rsidP="004A263C">
      <w:pPr>
        <w:pStyle w:val="Paragrafi"/>
        <w:rPr>
          <w:lang w:val="it-IT"/>
        </w:rPr>
      </w:pPr>
    </w:p>
    <w:p w:rsidR="004A263C" w:rsidRPr="008064E8" w:rsidRDefault="004A263C" w:rsidP="004A263C">
      <w:pPr>
        <w:pStyle w:val="Autoriteti"/>
        <w:keepNext w:val="0"/>
        <w:rPr>
          <w:lang w:val="it-IT"/>
        </w:rPr>
      </w:pPr>
      <w:r w:rsidRPr="008064E8">
        <w:rPr>
          <w:lang w:val="it-IT"/>
        </w:rPr>
        <w:t>Kryeministri</w:t>
      </w:r>
    </w:p>
    <w:p w:rsidR="004A263C" w:rsidRDefault="004A263C" w:rsidP="004A263C">
      <w:pPr>
        <w:pStyle w:val="AutoritetiEmer"/>
        <w:rPr>
          <w:lang w:val="it-IT"/>
        </w:rPr>
      </w:pPr>
      <w:r w:rsidRPr="008064E8">
        <w:rPr>
          <w:lang w:val="it-IT"/>
        </w:rPr>
        <w:t>Sali Berisha</w:t>
      </w:r>
    </w:p>
    <w:p w:rsidR="004A263C" w:rsidRDefault="004A263C" w:rsidP="004A263C">
      <w:pPr>
        <w:pStyle w:val="Paragrafi"/>
      </w:pPr>
    </w:p>
    <w:p w:rsidR="004A263C" w:rsidRPr="00C84B66" w:rsidRDefault="004A263C" w:rsidP="004A263C">
      <w:pPr>
        <w:pStyle w:val="Paragrafi"/>
      </w:pPr>
    </w:p>
    <w:p w:rsidR="004A263C" w:rsidRPr="00C84B66" w:rsidRDefault="004A263C" w:rsidP="004A263C">
      <w:pPr>
        <w:pStyle w:val="Paragrafi"/>
      </w:pPr>
    </w:p>
    <w:p w:rsidR="000178C2" w:rsidRPr="00C84B66" w:rsidRDefault="000178C2" w:rsidP="004A263C">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A263C"/>
    <w:rsid w:val="000178C2"/>
    <w:rsid w:val="000C7E9D"/>
    <w:rsid w:val="004A263C"/>
    <w:rsid w:val="00C84B66"/>
    <w:rsid w:val="00CE74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F42D180-10C8-4A4A-80D8-381F7484A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0C7E9D"/>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0C7E9D"/>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C7E9D"/>
    <w:rPr>
      <w:rFonts w:ascii="CG Times" w:hAnsi="CG Times"/>
      <w:sz w:val="22"/>
      <w:lang w:eastAsia="en-US"/>
    </w:rPr>
  </w:style>
  <w:style w:type="paragraph" w:customStyle="1" w:styleId="AneksiNr">
    <w:name w:val="Aneksi_Nr"/>
    <w:next w:val="Normal"/>
    <w:rsid w:val="000C7E9D"/>
    <w:pPr>
      <w:keepNext/>
      <w:widowControl w:val="0"/>
      <w:jc w:val="center"/>
    </w:pPr>
    <w:rPr>
      <w:rFonts w:ascii="CG Times" w:hAnsi="CG Times"/>
      <w:caps/>
      <w:sz w:val="22"/>
      <w:szCs w:val="22"/>
      <w:lang w:eastAsia="en-US"/>
    </w:rPr>
  </w:style>
  <w:style w:type="paragraph" w:customStyle="1" w:styleId="AneksiTitull">
    <w:name w:val="Aneksi_Titull"/>
    <w:next w:val="Normal"/>
    <w:rsid w:val="000C7E9D"/>
    <w:pPr>
      <w:jc w:val="center"/>
    </w:pPr>
    <w:rPr>
      <w:rFonts w:ascii="CG Times" w:hAnsi="CG Times"/>
      <w:sz w:val="24"/>
      <w:szCs w:val="24"/>
      <w:lang w:eastAsia="en-US"/>
    </w:rPr>
  </w:style>
  <w:style w:type="paragraph" w:customStyle="1" w:styleId="Autoriteti">
    <w:name w:val="Autoriteti"/>
    <w:next w:val="Normal"/>
    <w:rsid w:val="000C7E9D"/>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0C7E9D"/>
    <w:pPr>
      <w:widowControl w:val="0"/>
      <w:jc w:val="right"/>
    </w:pPr>
    <w:rPr>
      <w:rFonts w:ascii="CG Times" w:hAnsi="CG Times"/>
      <w:b/>
      <w:sz w:val="22"/>
      <w:szCs w:val="22"/>
      <w:lang w:eastAsia="en-US"/>
    </w:rPr>
  </w:style>
  <w:style w:type="paragraph" w:customStyle="1" w:styleId="BazLigjPropozues">
    <w:name w:val="Baz_Ligj_Propozues"/>
    <w:rsid w:val="000C7E9D"/>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0C7E9D"/>
    <w:pPr>
      <w:jc w:val="center"/>
    </w:pPr>
    <w:rPr>
      <w:rFonts w:ascii="CG Times" w:hAnsi="CG Times"/>
      <w:caps/>
      <w:sz w:val="22"/>
      <w:szCs w:val="22"/>
      <w:lang w:eastAsia="en-US"/>
    </w:rPr>
  </w:style>
  <w:style w:type="paragraph" w:customStyle="1" w:styleId="Figure">
    <w:name w:val="Figure"/>
    <w:next w:val="Normal"/>
    <w:rsid w:val="000C7E9D"/>
    <w:pPr>
      <w:widowControl w:val="0"/>
      <w:outlineLvl w:val="2"/>
    </w:pPr>
    <w:rPr>
      <w:rFonts w:ascii="CG Times" w:hAnsi="CG Times"/>
      <w:sz w:val="22"/>
      <w:lang w:val="en-US" w:eastAsia="en-US"/>
    </w:rPr>
  </w:style>
  <w:style w:type="paragraph" w:customStyle="1" w:styleId="Institucioni">
    <w:name w:val="Institucioni"/>
    <w:next w:val="Normal"/>
    <w:rsid w:val="000C7E9D"/>
    <w:pPr>
      <w:keepNext/>
      <w:widowControl w:val="0"/>
      <w:jc w:val="center"/>
    </w:pPr>
    <w:rPr>
      <w:rFonts w:ascii="CG Times" w:hAnsi="CG Times"/>
      <w:caps/>
      <w:sz w:val="22"/>
      <w:szCs w:val="22"/>
      <w:lang w:eastAsia="en-US"/>
    </w:rPr>
  </w:style>
  <w:style w:type="paragraph" w:customStyle="1" w:styleId="Kapakufund">
    <w:name w:val="Kapaku_fund"/>
    <w:next w:val="Normal"/>
    <w:rsid w:val="000C7E9D"/>
    <w:pPr>
      <w:pageBreakBefore/>
    </w:pPr>
    <w:rPr>
      <w:rFonts w:ascii="CG Times" w:hAnsi="CG Times"/>
      <w:b/>
      <w:sz w:val="22"/>
      <w:szCs w:val="22"/>
      <w:lang w:val="en-US" w:eastAsia="en-US"/>
    </w:rPr>
  </w:style>
  <w:style w:type="paragraph" w:customStyle="1" w:styleId="KapitulliNr">
    <w:name w:val="Kapitulli_Nr"/>
    <w:rsid w:val="000C7E9D"/>
    <w:pPr>
      <w:keepNext/>
      <w:widowControl w:val="0"/>
      <w:jc w:val="center"/>
    </w:pPr>
    <w:rPr>
      <w:rFonts w:ascii="CG Times" w:hAnsi="CG Times"/>
      <w:caps/>
      <w:sz w:val="22"/>
      <w:szCs w:val="22"/>
      <w:lang w:eastAsia="en-US"/>
    </w:rPr>
  </w:style>
  <w:style w:type="paragraph" w:customStyle="1" w:styleId="KapitulliTitull">
    <w:name w:val="Kapitulli_Titull"/>
    <w:rsid w:val="000C7E9D"/>
    <w:pPr>
      <w:keepNext/>
      <w:widowControl w:val="0"/>
      <w:jc w:val="center"/>
    </w:pPr>
    <w:rPr>
      <w:rFonts w:ascii="CG Times" w:hAnsi="CG Times"/>
      <w:caps/>
      <w:sz w:val="22"/>
      <w:szCs w:val="22"/>
      <w:lang w:eastAsia="en-US"/>
    </w:rPr>
  </w:style>
  <w:style w:type="paragraph" w:customStyle="1" w:styleId="KreuNr">
    <w:name w:val="Kreu_Nr"/>
    <w:rsid w:val="000C7E9D"/>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C7E9D"/>
    <w:pPr>
      <w:keepNext/>
      <w:widowControl w:val="0"/>
      <w:jc w:val="center"/>
    </w:pPr>
    <w:rPr>
      <w:rFonts w:ascii="CG Times" w:hAnsi="CG Times"/>
      <w:caps/>
      <w:sz w:val="22"/>
      <w:szCs w:val="22"/>
      <w:lang w:val="en-US" w:eastAsia="en-US"/>
    </w:rPr>
  </w:style>
  <w:style w:type="paragraph" w:customStyle="1" w:styleId="Ndryshimet">
    <w:name w:val="Ndryshimet"/>
    <w:next w:val="Normal"/>
    <w:rsid w:val="000C7E9D"/>
    <w:pPr>
      <w:keepNext/>
      <w:widowControl w:val="0"/>
      <w:jc w:val="center"/>
    </w:pPr>
    <w:rPr>
      <w:rFonts w:ascii="CG Times" w:hAnsi="CG Times"/>
      <w:i/>
      <w:sz w:val="22"/>
      <w:lang w:val="en-US" w:eastAsia="en-US"/>
    </w:rPr>
  </w:style>
  <w:style w:type="paragraph" w:customStyle="1" w:styleId="NeniNr">
    <w:name w:val="Neni_Nr"/>
    <w:next w:val="Normal"/>
    <w:rsid w:val="000C7E9D"/>
    <w:pPr>
      <w:keepNext/>
      <w:widowControl w:val="0"/>
      <w:jc w:val="center"/>
    </w:pPr>
    <w:rPr>
      <w:rFonts w:ascii="CG Times" w:hAnsi="CG Times"/>
      <w:sz w:val="22"/>
      <w:lang w:eastAsia="en-US"/>
    </w:rPr>
  </w:style>
  <w:style w:type="paragraph" w:customStyle="1" w:styleId="NeniTitull">
    <w:name w:val="Neni_Titull"/>
    <w:next w:val="Normal"/>
    <w:rsid w:val="000C7E9D"/>
    <w:pPr>
      <w:keepNext/>
      <w:widowControl w:val="0"/>
      <w:jc w:val="center"/>
      <w:outlineLvl w:val="2"/>
    </w:pPr>
    <w:rPr>
      <w:rFonts w:ascii="CG Times" w:hAnsi="CG Times"/>
      <w:b/>
      <w:sz w:val="22"/>
      <w:lang w:eastAsia="en-US"/>
    </w:rPr>
  </w:style>
  <w:style w:type="paragraph" w:customStyle="1" w:styleId="NenkreuNr">
    <w:name w:val="Nenkreu_Nr"/>
    <w:rsid w:val="000C7E9D"/>
    <w:pPr>
      <w:keepNext/>
      <w:widowControl w:val="0"/>
      <w:jc w:val="center"/>
    </w:pPr>
    <w:rPr>
      <w:rFonts w:ascii="CG Times" w:hAnsi="CG Times"/>
      <w:caps/>
      <w:sz w:val="22"/>
      <w:szCs w:val="22"/>
      <w:lang w:eastAsia="en-US"/>
    </w:rPr>
  </w:style>
  <w:style w:type="paragraph" w:customStyle="1" w:styleId="NenkreuTitull">
    <w:name w:val="Nenkreu_Titull"/>
    <w:rsid w:val="000C7E9D"/>
    <w:pPr>
      <w:jc w:val="center"/>
    </w:pPr>
    <w:rPr>
      <w:rFonts w:ascii="CG Times" w:hAnsi="CG Times"/>
      <w:caps/>
      <w:sz w:val="22"/>
      <w:szCs w:val="22"/>
      <w:lang w:eastAsia="en-US"/>
    </w:rPr>
  </w:style>
  <w:style w:type="paragraph" w:customStyle="1" w:styleId="Nenpika">
    <w:name w:val="Nenpika"/>
    <w:next w:val="Normal"/>
    <w:autoRedefine/>
    <w:rsid w:val="000C7E9D"/>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C7E9D"/>
    <w:pPr>
      <w:widowControl w:val="0"/>
      <w:spacing w:after="120"/>
      <w:jc w:val="both"/>
    </w:pPr>
    <w:rPr>
      <w:rFonts w:ascii="Bookman Old Style" w:hAnsi="Bookman Old Style"/>
      <w:sz w:val="22"/>
      <w:szCs w:val="20"/>
      <w:lang w:val="sq-AL"/>
    </w:rPr>
  </w:style>
  <w:style w:type="paragraph" w:customStyle="1" w:styleId="numberedindent">
    <w:name w:val="numberedindent"/>
    <w:rsid w:val="000C7E9D"/>
    <w:pPr>
      <w:tabs>
        <w:tab w:val="num" w:pos="1800"/>
      </w:tabs>
      <w:spacing w:after="120"/>
      <w:jc w:val="both"/>
    </w:pPr>
    <w:rPr>
      <w:rFonts w:ascii="Arial" w:hAnsi="Arial"/>
      <w:lang w:eastAsia="en-US"/>
    </w:rPr>
  </w:style>
  <w:style w:type="paragraph" w:customStyle="1" w:styleId="NumriData">
    <w:name w:val="Numri_Data"/>
    <w:next w:val="Normal"/>
    <w:rsid w:val="000C7E9D"/>
    <w:pPr>
      <w:keepNext/>
      <w:widowControl w:val="0"/>
      <w:jc w:val="center"/>
      <w:outlineLvl w:val="0"/>
    </w:pPr>
    <w:rPr>
      <w:rFonts w:ascii="CG Times" w:hAnsi="CG Times"/>
      <w:b/>
      <w:sz w:val="22"/>
      <w:lang w:eastAsia="en-US"/>
    </w:rPr>
  </w:style>
  <w:style w:type="paragraph" w:customStyle="1" w:styleId="Paragrafi">
    <w:name w:val="Paragrafi"/>
    <w:link w:val="ParagrafiChar"/>
    <w:rsid w:val="000C7E9D"/>
    <w:pPr>
      <w:widowControl w:val="0"/>
      <w:ind w:firstLine="720"/>
      <w:jc w:val="both"/>
    </w:pPr>
    <w:rPr>
      <w:rFonts w:ascii="CG Times" w:hAnsi="CG Times"/>
      <w:sz w:val="22"/>
      <w:lang w:val="en-US" w:eastAsia="en-US"/>
    </w:rPr>
  </w:style>
  <w:style w:type="paragraph" w:customStyle="1" w:styleId="Pika">
    <w:name w:val="Pika"/>
    <w:next w:val="Normal"/>
    <w:autoRedefine/>
    <w:rsid w:val="000C7E9D"/>
    <w:pPr>
      <w:ind w:firstLine="720"/>
    </w:pPr>
    <w:rPr>
      <w:rFonts w:ascii="CG Times" w:hAnsi="CG Times"/>
      <w:sz w:val="22"/>
      <w:lang w:val="en-US" w:eastAsia="en-US"/>
    </w:rPr>
  </w:style>
  <w:style w:type="paragraph" w:customStyle="1" w:styleId="PikeKreu">
    <w:name w:val="Pike_Kreu"/>
    <w:basedOn w:val="Heading1"/>
    <w:rsid w:val="000C7E9D"/>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C7E9D"/>
    <w:pPr>
      <w:keepNext/>
      <w:widowControl w:val="0"/>
      <w:jc w:val="center"/>
    </w:pPr>
    <w:rPr>
      <w:rFonts w:ascii="CG Times" w:hAnsi="CG Times"/>
      <w:caps/>
      <w:sz w:val="22"/>
      <w:szCs w:val="22"/>
      <w:lang w:eastAsia="en-US"/>
    </w:rPr>
  </w:style>
  <w:style w:type="paragraph" w:customStyle="1" w:styleId="PjesaTitull">
    <w:name w:val="Pjesa_Titull"/>
    <w:rsid w:val="000C7E9D"/>
    <w:pPr>
      <w:keepNext/>
      <w:widowControl w:val="0"/>
      <w:jc w:val="center"/>
    </w:pPr>
    <w:rPr>
      <w:rFonts w:ascii="CG Times" w:hAnsi="CG Times"/>
      <w:caps/>
      <w:sz w:val="22"/>
      <w:szCs w:val="22"/>
      <w:lang w:eastAsia="en-US"/>
    </w:rPr>
  </w:style>
  <w:style w:type="paragraph" w:customStyle="1" w:styleId="Shpallja">
    <w:name w:val="Shpallja"/>
    <w:rsid w:val="000C7E9D"/>
    <w:pPr>
      <w:widowControl w:val="0"/>
      <w:jc w:val="both"/>
    </w:pPr>
    <w:rPr>
      <w:rFonts w:ascii="CG Times" w:hAnsi="CG Times"/>
      <w:b/>
      <w:color w:val="000000"/>
      <w:sz w:val="22"/>
      <w:szCs w:val="22"/>
      <w:lang w:val="sq-AL" w:eastAsia="en-US"/>
    </w:rPr>
  </w:style>
  <w:style w:type="paragraph" w:customStyle="1" w:styleId="Tabele">
    <w:name w:val="Tabele"/>
    <w:rsid w:val="000C7E9D"/>
    <w:rPr>
      <w:rFonts w:ascii="CG Times" w:hAnsi="CG Times"/>
      <w:sz w:val="22"/>
      <w:lang w:eastAsia="en-US"/>
    </w:rPr>
  </w:style>
  <w:style w:type="paragraph" w:customStyle="1" w:styleId="text">
    <w:name w:val="text"/>
    <w:basedOn w:val="Normal"/>
    <w:rsid w:val="000C7E9D"/>
    <w:pPr>
      <w:widowControl w:val="0"/>
      <w:ind w:left="709"/>
      <w:jc w:val="both"/>
    </w:pPr>
    <w:rPr>
      <w:rFonts w:ascii="Arial" w:hAnsi="Arial"/>
      <w:sz w:val="20"/>
      <w:szCs w:val="20"/>
      <w:lang w:val="fr-FR"/>
    </w:rPr>
  </w:style>
  <w:style w:type="paragraph" w:customStyle="1" w:styleId="Titulli">
    <w:name w:val="Titulli"/>
    <w:next w:val="Normal"/>
    <w:link w:val="TitulliChar"/>
    <w:rsid w:val="000C7E9D"/>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C7E9D"/>
    <w:rPr>
      <w:rFonts w:ascii="CG Times" w:eastAsia="MS Mincho" w:hAnsi="CG Times"/>
      <w:b/>
      <w:caps/>
      <w:sz w:val="22"/>
      <w:szCs w:val="22"/>
      <w:lang w:val="en-GB" w:eastAsia="en-US" w:bidi="ar-SA"/>
    </w:rPr>
  </w:style>
  <w:style w:type="paragraph" w:customStyle="1" w:styleId="TitulliNr">
    <w:name w:val="Titulli_Nr"/>
    <w:rsid w:val="000C7E9D"/>
    <w:pPr>
      <w:keepNext/>
      <w:widowControl w:val="0"/>
      <w:jc w:val="center"/>
    </w:pPr>
    <w:rPr>
      <w:rFonts w:ascii="CG Times" w:hAnsi="CG Times"/>
      <w:caps/>
      <w:sz w:val="22"/>
      <w:szCs w:val="22"/>
      <w:lang w:eastAsia="en-US"/>
    </w:rPr>
  </w:style>
  <w:style w:type="paragraph" w:customStyle="1" w:styleId="TitulliTitull">
    <w:name w:val="Titulli_Titull"/>
    <w:rsid w:val="000C7E9D"/>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0C7E9D"/>
    <w:pPr>
      <w:keepNext/>
      <w:widowControl w:val="0"/>
      <w:jc w:val="center"/>
    </w:pPr>
    <w:rPr>
      <w:rFonts w:ascii="CG Times" w:hAnsi="CG Times"/>
      <w:caps/>
      <w:sz w:val="22"/>
      <w:szCs w:val="22"/>
      <w:lang w:eastAsia="en-US"/>
    </w:rPr>
  </w:style>
  <w:style w:type="character" w:customStyle="1" w:styleId="ParagrafiChar">
    <w:name w:val="Paragrafi Char"/>
    <w:basedOn w:val="DefaultParagraphFont"/>
    <w:link w:val="Paragrafi"/>
    <w:rsid w:val="004A263C"/>
    <w:rPr>
      <w:rFonts w:ascii="CG Times" w:hAnsi="CG Times"/>
      <w:sz w:val="22"/>
      <w:lang w:val="en-US" w:eastAsia="en-US" w:bidi="ar-SA"/>
    </w:rPr>
  </w:style>
  <w:style w:type="character" w:customStyle="1" w:styleId="AutoritetiEmerChar">
    <w:name w:val="Autoriteti_Emer Char"/>
    <w:basedOn w:val="DefaultParagraphFont"/>
    <w:link w:val="AutoritetiEmer"/>
    <w:rsid w:val="004A263C"/>
    <w:rPr>
      <w:rFonts w:ascii="CG Times" w:hAnsi="CG Times"/>
      <w:b/>
      <w:sz w:val="22"/>
      <w:szCs w:val="22"/>
      <w:lang w:val="en-GB" w:eastAsia="en-US" w:bidi="ar-SA"/>
    </w:rPr>
  </w:style>
  <w:style w:type="character" w:customStyle="1" w:styleId="TitulliChar">
    <w:name w:val="Titulli Char"/>
    <w:basedOn w:val="DefaultParagraphFont"/>
    <w:link w:val="Titulli"/>
    <w:rsid w:val="004A263C"/>
    <w:rPr>
      <w:rFonts w:ascii="CG Times" w:hAnsi="CG Times"/>
      <w:b/>
      <w:caps/>
      <w:sz w:val="22"/>
      <w:szCs w:val="22"/>
      <w:lang w:val="en-GB" w:eastAsia="en-US" w:bidi="ar-SA"/>
    </w:rPr>
  </w:style>
  <w:style w:type="character" w:customStyle="1" w:styleId="VENDOSIChar">
    <w:name w:val="VENDOSI Char"/>
    <w:basedOn w:val="DefaultParagraphFont"/>
    <w:link w:val="VENDOSI"/>
    <w:rsid w:val="004A263C"/>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2920</Words>
  <Characters>16646</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19527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dc:creator>
  <cp:keywords/>
  <dc:description/>
  <cp:lastModifiedBy>Inida Noga</cp:lastModifiedBy>
  <cp:revision>2</cp:revision>
  <dcterms:created xsi:type="dcterms:W3CDTF">2019-03-16T15:22:00Z</dcterms:created>
  <dcterms:modified xsi:type="dcterms:W3CDTF">2019-03-16T15:22:00Z</dcterms:modified>
</cp:coreProperties>
</file>