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6C6" w:rsidRPr="009F1BB1" w:rsidRDefault="005316C6" w:rsidP="005316C6">
      <w:pPr>
        <w:pStyle w:val="Akti"/>
      </w:pPr>
      <w:bookmarkStart w:id="0" w:name="_GoBack"/>
      <w:bookmarkEnd w:id="0"/>
      <w:r w:rsidRPr="009F1BB1">
        <w:t>VENDIM</w:t>
      </w:r>
    </w:p>
    <w:p w:rsidR="005316C6" w:rsidRPr="009F1BB1" w:rsidRDefault="005316C6" w:rsidP="005316C6">
      <w:pPr>
        <w:pStyle w:val="NumriData"/>
        <w:rPr>
          <w:szCs w:val="22"/>
        </w:rPr>
      </w:pPr>
      <w:r w:rsidRPr="009F1BB1">
        <w:rPr>
          <w:szCs w:val="22"/>
        </w:rPr>
        <w:t xml:space="preserve">Nr.660, datë 12.9.2007 </w:t>
      </w:r>
    </w:p>
    <w:p w:rsidR="005316C6" w:rsidRPr="009F1BB1" w:rsidRDefault="005316C6" w:rsidP="005316C6">
      <w:pPr>
        <w:pStyle w:val="Titulli"/>
      </w:pPr>
      <w:r w:rsidRPr="009F1BB1">
        <w:br/>
        <w:t>PËR TRANSFERIMIN E AKSIONEVE TË SHOQËRIVE TË UJËSJELLËSVE DHE KANALIZIMEVE NJËSIVE TË QEVERISJES VENDORE</w:t>
      </w:r>
    </w:p>
    <w:p w:rsidR="005316C6" w:rsidRPr="009F1BB1" w:rsidRDefault="005316C6" w:rsidP="005316C6">
      <w:pPr>
        <w:pStyle w:val="Paragrafi"/>
        <w:rPr>
          <w:szCs w:val="22"/>
        </w:rPr>
      </w:pP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Në mbështetje të nenit 100 të Kushtetutës, të neneve  8, pika 1.II, shkronja “a”, 10, pika 3.I, shkronjat “a” e “b”, dhe 72, pika 5.I , shkronjat “a” e “b” të ligjit nr.8652, datë 31.7.2000 “Për organizimin dhe funksionimin e qeverisjes vendore”, të neneve 3, shkronja “e”, 4, 6, shkronja “a”, 7, 8 e 16, pika 1 të ligjit nr.8744, datë 22.2.2001 “Për transferimin e pronave të paluajtshme publike të shtetit në njësitë e qeverisjes vendore”, me propozimin e Ministrit të Punëve Publike, Transportit dhe Telekomunikacionit, të Ministrit të Brendshëm, Ministrit të Ekonomisë, Tregtisë dhe Energjetikës dhe Ministrit të Financave, Këshilli i Ministrave</w:t>
      </w:r>
    </w:p>
    <w:p w:rsidR="005316C6" w:rsidRPr="009F1BB1" w:rsidRDefault="005316C6" w:rsidP="005316C6">
      <w:pPr>
        <w:pStyle w:val="VENDOSI"/>
      </w:pPr>
      <w:r w:rsidRPr="009F1BB1">
        <w:br/>
        <w:t>VENDOSI:</w:t>
      </w:r>
    </w:p>
    <w:p w:rsidR="005316C6" w:rsidRPr="009F1BB1" w:rsidRDefault="005316C6" w:rsidP="005316C6">
      <w:pPr>
        <w:pStyle w:val="Paragrafi"/>
        <w:rPr>
          <w:szCs w:val="22"/>
        </w:rPr>
      </w:pP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1. Transferimin e aksioneve të shoqërive shtetërore të ujësjellësve dhe kanalizimeve në pronësi të njësive të qeverisjes vendore, sipas lidhjeve 1 e 2, që i bashkëlidhen këtij vendimi.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2. Kur shoqëria e ujësjellësve dhe kanalizimeve mbulon më shumë se një njësi qeverisjeje vendore, bazuar në shitjen me pakicë, në marrëdhëniet tregtare me përdoruesit finalë, aksionet e shoqërisë, që transferohen, u kalojnë njësive të qeverisjes vendore përkatëse në bashkëpronësi, ku pjesa takuese e aksioneve të çdo njësie është në përpjesëtim të drejtë me numrin e popullsisë së asaj njësie, që mbulohet nga shoqëria e ujësjellësit dhe kanalizimeve.</w:t>
      </w:r>
    </w:p>
    <w:p w:rsidR="005316C6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 xml:space="preserve">3. Njësitë e qeverisjes vendore, të cilave u transferohen aksionet e shoqërive të ujësjellësve dhe kanalizimeve sipas këtij vendimi, janë të detyruara, që, për një periudhë kohore prej jo më pak </w:t>
      </w:r>
      <w:r>
        <w:rPr>
          <w:szCs w:val="22"/>
        </w:rPr>
        <w:t xml:space="preserve">se </w:t>
      </w:r>
      <w:r w:rsidRPr="009F1BB1">
        <w:rPr>
          <w:szCs w:val="22"/>
        </w:rPr>
        <w:t>dy (2) vjetësh nga data e bërjes efekti</w:t>
      </w:r>
      <w:r>
        <w:rPr>
          <w:szCs w:val="22"/>
        </w:rPr>
        <w:t>ve të transferimit të aksioneve.</w:t>
      </w:r>
    </w:p>
    <w:p w:rsidR="005316C6" w:rsidRDefault="005316C6" w:rsidP="005316C6">
      <w:pPr>
        <w:pStyle w:val="Paragrafi"/>
        <w:rPr>
          <w:szCs w:val="22"/>
        </w:rPr>
      </w:pPr>
    </w:p>
    <w:p w:rsidR="005316C6" w:rsidRPr="009F1BB1" w:rsidRDefault="005316C6" w:rsidP="005316C6">
      <w:pPr>
        <w:pStyle w:val="Paragrafi"/>
        <w:rPr>
          <w:szCs w:val="22"/>
        </w:rPr>
      </w:pP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a) të mos shesin aksionet e tyre te persona, fizikë ose juridikë, të tjerë, shtetërorë a privatë;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b) të mos kryejnë ndarje të shoqërisë, por ta mbajnë atë si një njësi ligjore të vetme operuese.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4. Ministria e Ekonomisë, Tregtisë dhe Energjetikës, në bashkëpunim me njësitë e qeverisjes vendore, të cilat përfitojnë prona sipas këtij vendimi, të përgatisë të gjithë dokumentacionin e nevojshëm, në përputhje me ligjin nr.8744, datë 22.2.2001, të cilin e paraqet për regjistrim në Qendrën Kombëtare të Regjistrimit.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5. Detyrimet e prapambetura të shoqërive të ujësjellësve dhe kanalizimeve, deri në çastin e transferimit, sipas përcaktimeve të bëra në lidhjen 2, që i bashkëlidhet këtij vendimi, të shlyhen nga Buxheti i Shtetit dhe bilancet e shoqërive, aksionet e të cilave transferohen, të zhvishen nga detyrimet e prapambetura përpara se të kryhet transferimi i aksioneve të tyre  në njësitë e qeverisjes vendore.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6. Ngarkohen Ministria e Punëve Publike, Transportit dhe Telekomunikacionit, Ministria e Brendshme, Ministria e Ekonomisë, Tregtisë dhe Energjetikës dhe Ministria e Financave për përgatitjen e ndryshimeve të nevojshme të dokumenteve ligjore dhe të udhëzuesve bazë, të nevojshëm (statuti i shoqërisë së transferuar dhe vendimit nr.642, datë 11.10.2</w:t>
      </w:r>
      <w:r>
        <w:rPr>
          <w:szCs w:val="22"/>
        </w:rPr>
        <w:t>005 të Këshillit të Ministrave</w:t>
      </w:r>
      <w:r w:rsidRPr="009F1BB1">
        <w:rPr>
          <w:szCs w:val="22"/>
        </w:rPr>
        <w:t xml:space="preserve"> “Për këshillat mbikëqyrëse të shoqërive anonime shtetërore”), të cilët do të bëjnë të mundur rregullimin e marrëdhënieve të bashkëpronësisë, ndërmjet njësive të qeveri</w:t>
      </w:r>
      <w:r>
        <w:rPr>
          <w:szCs w:val="22"/>
        </w:rPr>
        <w:t>sjes vendore, si bashkëpronarë</w:t>
      </w:r>
      <w:r w:rsidRPr="009F1BB1">
        <w:rPr>
          <w:szCs w:val="22"/>
        </w:rPr>
        <w:t xml:space="preserve"> dhe të marrëdhënieve, ndërmjet këtyre të fundit me shoqëritë, që menaxhojnë sistemet e ujësjellësve dhe të kanalizimeve të transferuara.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7. Ngarkohen Ministria e Ekonomisë, Tregtisë dhe Energjetikës të programojë dhe të ndjekë zbatimin e udhëzimeve dhe të akteve nënligjore, për ngritjen e asambleve të ortakëve të njësive të qeverisjes vendore, bashkëpronarë të shoqërive të ujësjellësve dhe kanalizimeve, të transferuara sipas lidhjes 1, që i bashkëlidhet këtij vendimi.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8. Pika 3, e lidhjes 2, dhe pikat 1</w:t>
      </w:r>
      <w:r>
        <w:rPr>
          <w:szCs w:val="22"/>
        </w:rPr>
        <w:t>,3,4, sistemet 12 e 13, 5,6 e 7 të lidhjes 3</w:t>
      </w:r>
      <w:r w:rsidRPr="009F1BB1">
        <w:rPr>
          <w:szCs w:val="22"/>
        </w:rPr>
        <w:t xml:space="preserve"> të vendimit nr.81, datë 12.2.2</w:t>
      </w:r>
      <w:r>
        <w:rPr>
          <w:szCs w:val="22"/>
        </w:rPr>
        <w:t>004 të Këshillit të Ministrave</w:t>
      </w:r>
      <w:r w:rsidRPr="009F1BB1">
        <w:rPr>
          <w:szCs w:val="22"/>
        </w:rPr>
        <w:t xml:space="preserve"> “Për transferimin e pronave të paluajtshme shtetërore të sistemit të ujësjellës-kanalizimeve, në pronësi të njësive</w:t>
      </w:r>
      <w:r>
        <w:rPr>
          <w:szCs w:val="22"/>
        </w:rPr>
        <w:t xml:space="preserve"> të qeverisjes vendore”, pika 2 e lidhjes 3</w:t>
      </w:r>
      <w:r w:rsidRPr="009F1BB1">
        <w:rPr>
          <w:szCs w:val="22"/>
        </w:rPr>
        <w:t xml:space="preserve"> të </w:t>
      </w:r>
      <w:r>
        <w:rPr>
          <w:szCs w:val="22"/>
        </w:rPr>
        <w:t>vendimit nr.173, datë 26.3.2004</w:t>
      </w:r>
      <w:r w:rsidRPr="009F1BB1">
        <w:rPr>
          <w:szCs w:val="22"/>
        </w:rPr>
        <w:t xml:space="preserve"> të Këshillit të Ministrave, “Për transferimin e pronave të paluajtshme shtetërore të sistemit të ujësjellës-kanalizimeve, në pronësi të njësive të qeverisjes vendore”, pika</w:t>
      </w:r>
      <w:r>
        <w:rPr>
          <w:szCs w:val="22"/>
        </w:rPr>
        <w:t>t</w:t>
      </w:r>
      <w:r w:rsidRPr="009F1BB1">
        <w:rPr>
          <w:szCs w:val="22"/>
        </w:rPr>
        <w:t xml:space="preserve"> 1,</w:t>
      </w:r>
      <w:r>
        <w:rPr>
          <w:szCs w:val="22"/>
        </w:rPr>
        <w:t xml:space="preserve"> 2, </w:t>
      </w:r>
      <w:r>
        <w:rPr>
          <w:szCs w:val="22"/>
        </w:rPr>
        <w:lastRenderedPageBreak/>
        <w:t>3, 5, 6, 7, 8, 9,10,11 e 12 të lidhjes 2</w:t>
      </w:r>
      <w:r w:rsidRPr="009F1BB1">
        <w:rPr>
          <w:szCs w:val="22"/>
        </w:rPr>
        <w:t xml:space="preserve"> dhe pikat 1, 2, 3, 4, 5, 9, 10, 11, 12, 13, </w:t>
      </w:r>
      <w:r>
        <w:rPr>
          <w:szCs w:val="22"/>
        </w:rPr>
        <w:t>14, 15, 16, 17, 18, 19, 20 e 21 të lidhjes 3</w:t>
      </w:r>
      <w:r w:rsidRPr="009F1BB1">
        <w:rPr>
          <w:szCs w:val="22"/>
        </w:rPr>
        <w:t xml:space="preserve"> të ve</w:t>
      </w:r>
      <w:r>
        <w:rPr>
          <w:szCs w:val="22"/>
        </w:rPr>
        <w:t>ndimit nr.809, datë 26.11.2004 të Këshillit të Ministrave</w:t>
      </w:r>
      <w:r w:rsidRPr="009F1BB1">
        <w:rPr>
          <w:szCs w:val="22"/>
        </w:rPr>
        <w:t xml:space="preserve"> “Për transferimin e pronave të paluajtshme shtetërore të sistemit të ujësjellës-kanalizimeve, </w:t>
      </w:r>
      <w:r>
        <w:rPr>
          <w:szCs w:val="22"/>
        </w:rPr>
        <w:t>n</w:t>
      </w:r>
      <w:r w:rsidRPr="009F1BB1">
        <w:rPr>
          <w:szCs w:val="22"/>
        </w:rPr>
        <w:t>ë pronësi të njësive të qeverisjes vendore”, si dhe vendimi nr.711, datë 18.10.2006, të Këshillit të M</w:t>
      </w:r>
      <w:r>
        <w:rPr>
          <w:szCs w:val="22"/>
        </w:rPr>
        <w:t>inistrave</w:t>
      </w:r>
      <w:r w:rsidRPr="009F1BB1">
        <w:rPr>
          <w:szCs w:val="22"/>
        </w:rPr>
        <w:t xml:space="preserve"> “Për transferimin e pronave të paluajtshme shtetërore të sistemit të ujësjellës-kanalizimeve, në pronësi të njësive të qeverisjes vendore”, shfuqizohen.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9. Ngarkohet Ministria e Punëve Publike, Transportit dhe Telekomunikacionit, Ministria e Ekonomisë, Tregtisë dhe Energjetikës, Ministria e Financave, Ministria e Brendshme dhe njësitë e qeverisjes vendore, të cilave u transferohen aksionet e shoqërive të ujësjellësve dhe kanalizimeve, për zbatimin e këtij vendimi.</w:t>
      </w:r>
    </w:p>
    <w:p w:rsidR="005316C6" w:rsidRPr="009F1BB1" w:rsidRDefault="005316C6" w:rsidP="005316C6">
      <w:pPr>
        <w:pStyle w:val="Paragrafi"/>
        <w:rPr>
          <w:szCs w:val="22"/>
        </w:rPr>
      </w:pPr>
      <w:r w:rsidRPr="009F1BB1">
        <w:rPr>
          <w:szCs w:val="22"/>
        </w:rPr>
        <w:t>Ky vendim hyn në fuqi pas botimit në Fletoren Zyrtare.</w:t>
      </w:r>
    </w:p>
    <w:p w:rsidR="005316C6" w:rsidRPr="009F1BB1" w:rsidRDefault="005316C6" w:rsidP="005316C6">
      <w:pPr>
        <w:pStyle w:val="Autoriteti"/>
      </w:pPr>
      <w:r w:rsidRPr="009F1BB1">
        <w:br/>
        <w:t>KRYEMINISTRI</w:t>
      </w:r>
    </w:p>
    <w:p w:rsidR="005316C6" w:rsidRPr="009F1BB1" w:rsidRDefault="005316C6" w:rsidP="005316C6">
      <w:pPr>
        <w:pStyle w:val="AutoritetiEmer"/>
      </w:pPr>
      <w:r w:rsidRPr="009F1BB1">
        <w:t>Sali Berisha</w:t>
      </w:r>
    </w:p>
    <w:p w:rsidR="005316C6" w:rsidRPr="009F1BB1" w:rsidRDefault="005316C6" w:rsidP="005316C6">
      <w:pPr>
        <w:pStyle w:val="Paragrafi"/>
        <w:rPr>
          <w:szCs w:val="22"/>
          <w:lang w:val="it-IT"/>
        </w:rPr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  <w:rPr>
          <w:b/>
        </w:rPr>
      </w:pPr>
      <w:r w:rsidRPr="009F1BB1">
        <w:rPr>
          <w:b/>
          <w:noProof/>
        </w:rPr>
        <w:lastRenderedPageBreak/>
        <w:drawing>
          <wp:inline distT="0" distB="0" distL="0" distR="0">
            <wp:extent cx="5267325" cy="8588375"/>
            <wp:effectExtent l="0" t="0" r="952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858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  <w:rPr>
          <w:b/>
        </w:rPr>
      </w:pPr>
    </w:p>
    <w:p w:rsidR="005316C6" w:rsidRPr="009F1BB1" w:rsidRDefault="005316C6" w:rsidP="005316C6">
      <w:pPr>
        <w:pStyle w:val="Figure"/>
        <w:rPr>
          <w:b/>
        </w:rPr>
      </w:pPr>
    </w:p>
    <w:p w:rsidR="005316C6" w:rsidRPr="009F1BB1" w:rsidRDefault="005316C6" w:rsidP="005316C6">
      <w:pPr>
        <w:pStyle w:val="Figure"/>
        <w:rPr>
          <w:b/>
        </w:rPr>
      </w:pPr>
    </w:p>
    <w:p w:rsidR="005316C6" w:rsidRPr="009F1BB1" w:rsidRDefault="00C72469" w:rsidP="005316C6">
      <w:pPr>
        <w:pStyle w:val="Figure"/>
        <w:rPr>
          <w:b/>
        </w:rPr>
      </w:pPr>
      <w:r w:rsidRPr="009F1BB1">
        <w:rPr>
          <w:b/>
          <w:noProof/>
        </w:rPr>
        <w:drawing>
          <wp:inline distT="0" distB="0" distL="0" distR="0">
            <wp:extent cx="5053330" cy="81622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330" cy="8162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Default="005316C6" w:rsidP="005316C6">
      <w:pPr>
        <w:pStyle w:val="Figure"/>
        <w:rPr>
          <w:b/>
        </w:rPr>
      </w:pPr>
    </w:p>
    <w:p w:rsidR="005316C6" w:rsidRDefault="005316C6" w:rsidP="005316C6">
      <w:pPr>
        <w:pStyle w:val="Figure"/>
        <w:rPr>
          <w:b/>
        </w:rPr>
      </w:pPr>
    </w:p>
    <w:p w:rsidR="005316C6" w:rsidRDefault="005316C6" w:rsidP="005316C6">
      <w:pPr>
        <w:pStyle w:val="Figure"/>
        <w:rPr>
          <w:b/>
        </w:rPr>
      </w:pPr>
    </w:p>
    <w:p w:rsidR="005316C6" w:rsidRPr="009F1BB1" w:rsidRDefault="00C72469" w:rsidP="005316C6">
      <w:pPr>
        <w:pStyle w:val="Figure"/>
        <w:rPr>
          <w:b/>
        </w:rPr>
      </w:pPr>
      <w:r>
        <w:rPr>
          <w:b/>
          <w:noProof/>
        </w:rPr>
        <w:drawing>
          <wp:inline distT="0" distB="0" distL="0" distR="0">
            <wp:extent cx="5225415" cy="78505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5415" cy="785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4719320" cy="8005445"/>
            <wp:effectExtent l="0" t="0" r="508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320" cy="800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562600" cy="84626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46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567045" cy="8072120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45" cy="807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343525" cy="8148320"/>
            <wp:effectExtent l="0" t="0" r="9525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080635" cy="8228965"/>
            <wp:effectExtent l="0" t="0" r="5715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822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452745" cy="792924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745" cy="792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198745" cy="7976870"/>
            <wp:effectExtent l="0" t="0" r="1905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745" cy="797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5011420" cy="81197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20" cy="811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Default="005316C6" w:rsidP="005316C6">
      <w:pPr>
        <w:pStyle w:val="Figure"/>
      </w:pPr>
    </w:p>
    <w:p w:rsidR="005316C6" w:rsidRDefault="005316C6" w:rsidP="005316C6">
      <w:pPr>
        <w:pStyle w:val="Figure"/>
      </w:pPr>
    </w:p>
    <w:p w:rsidR="005316C6" w:rsidRDefault="005316C6" w:rsidP="005316C6">
      <w:pPr>
        <w:pStyle w:val="Figure"/>
      </w:pPr>
    </w:p>
    <w:p w:rsidR="005316C6" w:rsidRDefault="005316C6" w:rsidP="005316C6">
      <w:pPr>
        <w:pStyle w:val="Figure"/>
      </w:pPr>
    </w:p>
    <w:p w:rsidR="005316C6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>
        <w:rPr>
          <w:noProof/>
        </w:rPr>
        <w:drawing>
          <wp:inline distT="0" distB="0" distL="0" distR="0">
            <wp:extent cx="5711190" cy="8286115"/>
            <wp:effectExtent l="0" t="0" r="381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90" cy="828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5316C6" w:rsidP="005316C6">
      <w:pPr>
        <w:pStyle w:val="Figure"/>
      </w:pPr>
    </w:p>
    <w:p w:rsidR="005316C6" w:rsidRPr="009F1BB1" w:rsidRDefault="00C72469" w:rsidP="005316C6">
      <w:pPr>
        <w:pStyle w:val="Figure"/>
      </w:pPr>
      <w:r w:rsidRPr="009F1BB1">
        <w:rPr>
          <w:noProof/>
        </w:rPr>
        <w:drawing>
          <wp:inline distT="0" distB="0" distL="0" distR="0">
            <wp:extent cx="4619625" cy="8324215"/>
            <wp:effectExtent l="0" t="0" r="952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832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6C6" w:rsidRPr="009F1BB1" w:rsidSect="005316C6">
      <w:footerReference w:type="even" r:id="rId19"/>
      <w:footerReference w:type="default" r:id="rId20"/>
      <w:footnotePr>
        <w:numRestart w:val="eachPage"/>
      </w:footnotePr>
      <w:pgSz w:w="11907" w:h="16840" w:code="9"/>
      <w:pgMar w:top="1418" w:right="1418" w:bottom="1418" w:left="1418" w:header="0" w:footer="1134" w:gutter="0"/>
      <w:pgNumType w:start="390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72469">
      <w:r>
        <w:separator/>
      </w:r>
    </w:p>
  </w:endnote>
  <w:endnote w:type="continuationSeparator" w:id="0">
    <w:p w:rsidR="00000000" w:rsidRDefault="00C7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6C6" w:rsidRDefault="005316C6" w:rsidP="005316C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16C6" w:rsidRDefault="005316C6" w:rsidP="005316C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16C6" w:rsidRDefault="005316C6" w:rsidP="005316C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2469">
      <w:rPr>
        <w:rStyle w:val="PageNumber"/>
        <w:noProof/>
      </w:rPr>
      <w:t>3906</w:t>
    </w:r>
    <w:r>
      <w:rPr>
        <w:rStyle w:val="PageNumber"/>
      </w:rPr>
      <w:fldChar w:fldCharType="end"/>
    </w:r>
  </w:p>
  <w:p w:rsidR="005316C6" w:rsidRDefault="005316C6" w:rsidP="005316C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72469">
      <w:r>
        <w:separator/>
      </w:r>
    </w:p>
  </w:footnote>
  <w:footnote w:type="continuationSeparator" w:id="0">
    <w:p w:rsidR="00000000" w:rsidRDefault="00C7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16C6"/>
    <w:rsid w:val="000178C2"/>
    <w:rsid w:val="005316C6"/>
    <w:rsid w:val="00C72469"/>
    <w:rsid w:val="00C84B66"/>
    <w:rsid w:val="00DD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703282-CF5D-4617-AE30-7D80F45D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6C6"/>
    <w:pPr>
      <w:widowControl w:val="0"/>
    </w:pPr>
    <w:rPr>
      <w:rFonts w:ascii="CG Times" w:hAnsi="CG Times"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DD417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D417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D417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DD417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D417F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DD417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DD417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DD417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D417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DD417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D417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D417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D417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BULLETUDHEZIM">
    <w:name w:val="BULLET UDHEZIM"/>
    <w:basedOn w:val="Normal"/>
    <w:rsid w:val="00DD417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extraclauses">
    <w:name w:val="extra_clauses"/>
    <w:basedOn w:val="Normal"/>
    <w:rsid w:val="00DD417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D417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DD417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D417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DD417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D417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D417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D417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D417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D417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DD417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DD417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as">
    <w:name w:val="Pas"/>
    <w:basedOn w:val="Normal"/>
    <w:rsid w:val="00DD417F"/>
  </w:style>
  <w:style w:type="paragraph" w:customStyle="1" w:styleId="Pika">
    <w:name w:val="Pika"/>
    <w:next w:val="Normal"/>
    <w:autoRedefine/>
    <w:rsid w:val="00DD417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D417F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D417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D417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D417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DD417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DD417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DD417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DD417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316C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316C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316C6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5316C6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5316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778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2019-04-03T13:25:00Z</dcterms:created>
  <dcterms:modified xsi:type="dcterms:W3CDTF">2019-04-03T13:25:00Z</dcterms:modified>
</cp:coreProperties>
</file>