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8D7" w:rsidRPr="00B52D63" w:rsidRDefault="00A548D7" w:rsidP="00A548D7">
      <w:pPr>
        <w:pStyle w:val="Akti"/>
      </w:pPr>
      <w:bookmarkStart w:id="0" w:name="_GoBack"/>
      <w:bookmarkEnd w:id="0"/>
      <w:r w:rsidRPr="00B52D63">
        <w:t>Vendim</w:t>
      </w:r>
    </w:p>
    <w:p w:rsidR="00A548D7" w:rsidRPr="00B52D63" w:rsidRDefault="00A548D7" w:rsidP="00A548D7">
      <w:pPr>
        <w:pStyle w:val="NumriData"/>
        <w:rPr>
          <w:szCs w:val="22"/>
        </w:rPr>
      </w:pPr>
      <w:r w:rsidRPr="00B52D63">
        <w:rPr>
          <w:szCs w:val="22"/>
        </w:rPr>
        <w:t>Nr.685, datë 19.10.2007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</w:p>
    <w:p w:rsidR="00A548D7" w:rsidRPr="006E3597" w:rsidRDefault="00A548D7" w:rsidP="00A548D7">
      <w:pPr>
        <w:pStyle w:val="Titulli"/>
      </w:pPr>
      <w:r w:rsidRPr="006E3597">
        <w:t>Për disa ndryshime e shtesa në vendimin nr.336, datë 1.6.2004 të Këshillit të Ministrave “Për miratimin e listës së inventarit të pronave të paluajtshme shtetërore, të cilat i kalojnë në përgjegjësi administrimi albbakër sha-së”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</w:p>
    <w:p w:rsidR="00A548D7" w:rsidRPr="006E3597" w:rsidRDefault="00A548D7" w:rsidP="00A548D7">
      <w:pPr>
        <w:pStyle w:val="Paragrafi"/>
        <w:rPr>
          <w:szCs w:val="22"/>
          <w:lang w:val="en-GB"/>
        </w:rPr>
      </w:pPr>
      <w:r w:rsidRPr="006E3597">
        <w:rPr>
          <w:szCs w:val="22"/>
          <w:lang w:val="en-GB"/>
        </w:rPr>
        <w:t>Në mbështetje të nenit 100 të Kushtetutës dhe të neneve 8, pika 3 e 13 të ligjit nr.8743, datë 22.2.2001 “Për pronat e paluajtshme të shtetit”, të ndryshuar, me propozimin e Ministrit të Ekonomisë, Tregtisë dhe Energjetikës, Këshilli i Ministrave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</w:p>
    <w:p w:rsidR="00A548D7" w:rsidRPr="00B52D63" w:rsidRDefault="00A548D7" w:rsidP="00A548D7">
      <w:pPr>
        <w:pStyle w:val="VENDOSI"/>
      </w:pPr>
      <w:r w:rsidRPr="00B52D63">
        <w:t>Vendosi: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</w:p>
    <w:p w:rsidR="00A548D7" w:rsidRPr="006E3597" w:rsidRDefault="00A548D7" w:rsidP="00A548D7">
      <w:pPr>
        <w:pStyle w:val="Paragrafi"/>
        <w:rPr>
          <w:szCs w:val="22"/>
          <w:lang w:val="en-GB"/>
        </w:rPr>
      </w:pPr>
      <w:r w:rsidRPr="006E3597">
        <w:rPr>
          <w:szCs w:val="22"/>
          <w:lang w:val="en-GB"/>
        </w:rPr>
        <w:t>1. Në vendimin nr.336, datë 1.6.2004 të Këshillit të Ministrave, të bëhen këto ndryshime dhe shtesa: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  <w:r w:rsidRPr="006E3597">
        <w:rPr>
          <w:szCs w:val="22"/>
          <w:lang w:val="en-GB"/>
        </w:rPr>
        <w:t>a) Në paragrafin e dytë të pikës 1, shifra “…78 (shtatëdhjetë e tetë)…” ndryshohet dhe bëhet “…92 (nëntëdhjetë e dy)….”.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  <w:r w:rsidRPr="006E3597">
        <w:rPr>
          <w:szCs w:val="22"/>
          <w:lang w:val="en-GB"/>
        </w:rPr>
        <w:t>b) Në listën bashkëlidhur të shtohen edhe formularët, që i bashkëlidhen këtij vendimi.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  <w:r w:rsidRPr="006E3597">
        <w:rPr>
          <w:szCs w:val="22"/>
          <w:lang w:val="en-GB"/>
        </w:rPr>
        <w:t>2. Ngarkohen Ministri i Brendshëm, Ministri i Ekonomisë, Tregtisë dhe Energjetikës dhe kryeregjistruesi i Pasurive të Paluajtshme të Republikës së Shqipërisë për zbatimin e këtij vendimi.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  <w:r w:rsidRPr="006E3597">
        <w:rPr>
          <w:szCs w:val="22"/>
          <w:lang w:val="en-GB"/>
        </w:rPr>
        <w:t>Ky vendim hyn në fuqi pas botimit në Fletoren Zyrtare.</w:t>
      </w:r>
    </w:p>
    <w:p w:rsidR="00A548D7" w:rsidRPr="006E3597" w:rsidRDefault="00A548D7" w:rsidP="00A548D7">
      <w:pPr>
        <w:pStyle w:val="Paragrafi"/>
        <w:rPr>
          <w:szCs w:val="22"/>
          <w:lang w:val="en-GB"/>
        </w:rPr>
      </w:pPr>
    </w:p>
    <w:p w:rsidR="00A548D7" w:rsidRPr="00B52D63" w:rsidRDefault="00A548D7" w:rsidP="00A548D7">
      <w:pPr>
        <w:pStyle w:val="Autoriteti"/>
      </w:pPr>
      <w:r w:rsidRPr="00B52D63">
        <w:t>Kryeministri</w:t>
      </w:r>
    </w:p>
    <w:p w:rsidR="00A548D7" w:rsidRPr="00B52D63" w:rsidRDefault="00A548D7" w:rsidP="00A548D7">
      <w:pPr>
        <w:pStyle w:val="AutoritetiEmer"/>
      </w:pPr>
      <w:r w:rsidRPr="00B52D63">
        <w:t>Sali Berisha</w:t>
      </w:r>
    </w:p>
    <w:p w:rsidR="00A548D7" w:rsidRPr="00B52D63" w:rsidRDefault="00A548D7" w:rsidP="00A548D7">
      <w:pPr>
        <w:pStyle w:val="Paragrafi"/>
        <w:rPr>
          <w:szCs w:val="22"/>
          <w:lang w:val="it-IT"/>
        </w:rPr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lastRenderedPageBreak/>
        <w:drawing>
          <wp:inline distT="0" distB="0" distL="0" distR="0">
            <wp:extent cx="5533390" cy="83483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390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378960" cy="823976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960" cy="823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  <w:jc w:val="both"/>
        <w:rPr>
          <w:b w:val="0"/>
          <w:caps w:val="0"/>
        </w:rPr>
      </w:pPr>
    </w:p>
    <w:p w:rsidR="00A548D7" w:rsidRPr="00B52D63" w:rsidRDefault="00A548D7" w:rsidP="00A548D7">
      <w:pPr>
        <w:pStyle w:val="Akti"/>
        <w:jc w:val="both"/>
        <w:rPr>
          <w:b w:val="0"/>
          <w:caps w:val="0"/>
        </w:rPr>
      </w:pPr>
    </w:p>
    <w:p w:rsidR="00A548D7" w:rsidRPr="00B52D63" w:rsidRDefault="00A548D7" w:rsidP="00A548D7">
      <w:pPr>
        <w:pStyle w:val="Akti"/>
        <w:jc w:val="both"/>
        <w:rPr>
          <w:b w:val="0"/>
          <w:caps w:val="0"/>
        </w:rPr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343400" cy="79673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96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5034280" cy="79527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280" cy="795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981575" cy="823531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23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994275" cy="760031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275" cy="760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5016500" cy="780351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780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466590" cy="736727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590" cy="736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389120" cy="79527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795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470400" cy="800354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800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484370" cy="77876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370" cy="778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447540" cy="7653020"/>
            <wp:effectExtent l="0" t="0" r="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540" cy="765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462145" cy="79273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145" cy="792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A548D7" w:rsidP="00A548D7">
      <w:pPr>
        <w:pStyle w:val="Akti"/>
      </w:pPr>
    </w:p>
    <w:p w:rsidR="00A548D7" w:rsidRPr="00B52D63" w:rsidRDefault="00B35F21" w:rsidP="00A548D7">
      <w:pPr>
        <w:pStyle w:val="Figure"/>
      </w:pPr>
      <w:r w:rsidRPr="00B52D63">
        <w:rPr>
          <w:noProof/>
        </w:rPr>
        <w:drawing>
          <wp:inline distT="0" distB="0" distL="0" distR="0">
            <wp:extent cx="4321810" cy="7844790"/>
            <wp:effectExtent l="0" t="0" r="254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4321810" cy="784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8D7" w:rsidRPr="00B52D6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48D7"/>
    <w:rsid w:val="000178C2"/>
    <w:rsid w:val="00953DF5"/>
    <w:rsid w:val="00A548D7"/>
    <w:rsid w:val="00B35F2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04814D-EAC7-4A57-AD7A-3BBFAE87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953D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53DF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53DF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53DF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53DF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953DF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53DF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53DF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953DF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953DF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953DF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53DF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953DF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953DF5"/>
    <w:pPr>
      <w:widowControl w:val="0"/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953DF5"/>
    <w:pPr>
      <w:widowControl w:val="0"/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953DF5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953DF5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953DF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953DF5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extraclauses">
    <w:name w:val="extra_clauses"/>
    <w:basedOn w:val="Normal"/>
    <w:rsid w:val="00953DF5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953DF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953DF5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Kapakufund">
    <w:name w:val="Kapaku_fund"/>
    <w:next w:val="Normal"/>
    <w:rsid w:val="00953DF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953DF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953DF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53DF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53DF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953DF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953DF5"/>
    <w:pPr>
      <w:widowControl w:val="0"/>
      <w:spacing w:after="120"/>
      <w:jc w:val="both"/>
    </w:pPr>
    <w:rPr>
      <w:rFonts w:ascii="Bookman Old Style" w:hAnsi="Bookman Old Style"/>
      <w:sz w:val="22"/>
      <w:szCs w:val="20"/>
      <w:lang w:val="sq-AL"/>
    </w:rPr>
  </w:style>
  <w:style w:type="paragraph" w:customStyle="1" w:styleId="numberedindent">
    <w:name w:val="numberedindent"/>
    <w:rsid w:val="00953DF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as">
    <w:name w:val="Pas"/>
    <w:basedOn w:val="Normal"/>
    <w:rsid w:val="00953DF5"/>
  </w:style>
  <w:style w:type="paragraph" w:customStyle="1" w:styleId="Pika">
    <w:name w:val="Pika"/>
    <w:next w:val="Normal"/>
    <w:autoRedefine/>
    <w:rsid w:val="00953DF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953DF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53DF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53DF5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953DF5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953DF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953D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548D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