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40E" w:rsidRPr="00B52D63" w:rsidRDefault="00D0540E" w:rsidP="00D0540E">
      <w:pPr>
        <w:pStyle w:val="Akti"/>
      </w:pPr>
      <w:bookmarkStart w:id="0" w:name="_GoBack"/>
      <w:bookmarkEnd w:id="0"/>
      <w:r w:rsidRPr="00B52D63">
        <w:t>Vendim</w:t>
      </w:r>
    </w:p>
    <w:p w:rsidR="00D0540E" w:rsidRPr="00B52D63" w:rsidRDefault="00D0540E" w:rsidP="00D0540E">
      <w:pPr>
        <w:pStyle w:val="NumriData"/>
        <w:rPr>
          <w:szCs w:val="22"/>
        </w:rPr>
      </w:pPr>
      <w:r w:rsidRPr="00B52D63">
        <w:rPr>
          <w:szCs w:val="22"/>
        </w:rPr>
        <w:t>Nr.687, datë 19.10.2007</w:t>
      </w:r>
    </w:p>
    <w:p w:rsidR="00D0540E" w:rsidRPr="006E3597" w:rsidRDefault="00D0540E" w:rsidP="00D0540E">
      <w:pPr>
        <w:pStyle w:val="Paragrafi"/>
        <w:rPr>
          <w:sz w:val="14"/>
          <w:szCs w:val="22"/>
          <w:lang w:val="en-GB"/>
        </w:rPr>
      </w:pPr>
    </w:p>
    <w:p w:rsidR="00D0540E" w:rsidRPr="00B52D63" w:rsidRDefault="00D0540E" w:rsidP="00D0540E">
      <w:pPr>
        <w:pStyle w:val="Titulli"/>
      </w:pPr>
      <w:r w:rsidRPr="00980D39">
        <w:t>Për shpalljen, me sipËrfaqe të zgjeruar, të ekosistemit natyror divjakë-Karavasta “Park kombëtar</w:t>
      </w:r>
      <w:r w:rsidRPr="00B52D63">
        <w:t>”</w:t>
      </w:r>
    </w:p>
    <w:p w:rsidR="00D0540E" w:rsidRPr="006E3597" w:rsidRDefault="00D0540E" w:rsidP="00D0540E">
      <w:pPr>
        <w:pStyle w:val="Paragrafi"/>
        <w:rPr>
          <w:sz w:val="16"/>
          <w:szCs w:val="22"/>
          <w:lang w:val="en-GB"/>
        </w:rPr>
      </w:pPr>
    </w:p>
    <w:p w:rsidR="00D0540E" w:rsidRPr="006E3597" w:rsidRDefault="00D0540E" w:rsidP="00D0540E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Në mbështetje të nenit 100 të Kushtetutës dhe të neneve 4 pika 1 shkronja “b”, 6 e 13 të ligjit nr.8906, datë 6.6.2002 “Për zonat e mbrojtura”, me propozimin e Ministrit të Mjedisit, Pyjeve dhe Administrimit të Ujërave, Këshilli i Ministrave</w:t>
      </w:r>
    </w:p>
    <w:p w:rsidR="00D0540E" w:rsidRPr="006E3597" w:rsidRDefault="00D0540E" w:rsidP="00D0540E">
      <w:pPr>
        <w:pStyle w:val="Paragrafi"/>
        <w:rPr>
          <w:sz w:val="14"/>
          <w:szCs w:val="22"/>
          <w:lang w:val="en-GB"/>
        </w:rPr>
      </w:pPr>
    </w:p>
    <w:p w:rsidR="00D0540E" w:rsidRPr="00B52D63" w:rsidRDefault="00D0540E" w:rsidP="00D0540E">
      <w:pPr>
        <w:pStyle w:val="VENDOSI"/>
      </w:pPr>
      <w:r w:rsidRPr="00B52D63">
        <w:t>Vendosi:</w:t>
      </w:r>
    </w:p>
    <w:p w:rsidR="00D0540E" w:rsidRPr="006E3597" w:rsidRDefault="00D0540E" w:rsidP="00D0540E">
      <w:pPr>
        <w:pStyle w:val="Paragrafi"/>
        <w:rPr>
          <w:szCs w:val="22"/>
          <w:lang w:val="en-GB"/>
        </w:rPr>
      </w:pPr>
    </w:p>
    <w:p w:rsidR="00D0540E" w:rsidRPr="006E3597" w:rsidRDefault="00D0540E" w:rsidP="00D0540E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1. Shpalljen, me sipërfaqe të zgjeruar, të ekosistemit natyror Divjakë-Karavasta “Park kombëtar”, sipas hartës që i bashkëlidhet këtij vendimi.</w:t>
      </w:r>
    </w:p>
    <w:p w:rsidR="00D0540E" w:rsidRPr="006E3597" w:rsidRDefault="00D0540E" w:rsidP="00D0540E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2. Kufijtë e këtij Parku ndryshojnë, si më poshtë vijon:</w:t>
      </w:r>
    </w:p>
    <w:p w:rsidR="00D0540E" w:rsidRPr="006E3597" w:rsidRDefault="00D0540E" w:rsidP="00D0540E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a) Në Veri:</w:t>
      </w:r>
    </w:p>
    <w:p w:rsidR="00D0540E" w:rsidRPr="006E3597" w:rsidRDefault="00D0540E" w:rsidP="00D0540E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Grykëderdhja e lumit Shkumbin (4398754.42 L/4571385.23 V) deri te pika e ndërprerjes së lumit Shkumbin me rrugën automobilistike, pranë fshatit Sulzotaj (4398754.42 L/4571385.23 V);</w:t>
      </w:r>
    </w:p>
    <w:p w:rsidR="00D0540E" w:rsidRPr="006E3597" w:rsidRDefault="00D0540E" w:rsidP="00D0540E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b) Në Lindje:</w:t>
      </w:r>
    </w:p>
    <w:p w:rsidR="00D0540E" w:rsidRPr="006E3597" w:rsidRDefault="00D0540E" w:rsidP="00D0540E">
      <w:pPr>
        <w:pStyle w:val="Paragrafi"/>
        <w:rPr>
          <w:szCs w:val="22"/>
          <w:lang w:val="en-GB"/>
        </w:rPr>
      </w:pPr>
      <w:r w:rsidRPr="006E3597">
        <w:rPr>
          <w:szCs w:val="22"/>
          <w:lang w:val="en-GB"/>
        </w:rPr>
        <w:t>Nga pika e ndërprerjes së rrugës automobilistike me lumin Shkumbin, pranë fshatit Sulzotaj (4398754.42 L/4571385.23 V), drejt rrugës për në fshatin Shënepremte, më pas në kuotat 75.5 m, 83.0 m, 91.5 m, 90.4 m, 104.0 m, 107.0 m, 78.0 m, 132.0 m (Maja e Fikut), 154.0 m (Gropa e Malukut), 168.0 m, 156.0 m (Maja e Gjatë), 175.0 m (Maja e Çerit), 192.3 m (Guri i Gomares), 136.0 m dhe kalon përmes fshatit Babunjë deri ku ndërpritet me ujëmbledhësin e Myzeqesë, vijon në krahun e majtë të rrjedhjes së këtij ujëmbledhësi deri tek ura pranë hidrovorit të Ndërnenasit, vazhdon përgjatë rrugës automobilistike deri ku ndërpritet me lumin Seman (4386723,94 L/4520674.33 V);</w:t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c) Në jug:</w:t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Lumi i Semanit (4386723.94 L/4520674.33 V) deri te grykëderdhja e tij, në detin Adriatik (4363408.97 L/4522464.10 V);</w:t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ç) Në Perëndim:</w:t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Grykëderdhja e lumit Seman (4363408.97 L/4522464.10 V), vijon përgjatë vijës bregdetare deri te grykëderdhja e lumit Shkumbin (4398754.42 L/4571385.23 V).</w:t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3. Parku k</w:t>
      </w:r>
      <w:r w:rsidRPr="00B52D63">
        <w:rPr>
          <w:szCs w:val="22"/>
          <w:lang w:val="it-IT"/>
        </w:rPr>
        <w:t>ombëtar i Divjakë-Karavastasë ka një sipërfaqe 22230.24 ha, të përbërë si më poshtë vijon:</w:t>
      </w:r>
    </w:p>
    <w:p w:rsidR="00D0540E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 xml:space="preserve">a) Sipërfaqe pyjore (Pyje, pyje të rrallë, pyje aluvionale e shkurre, ripyllëzime, tokë me bimësi pyjore e ujore) </w:t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>
        <w:rPr>
          <w:szCs w:val="22"/>
          <w:lang w:val="it-IT"/>
        </w:rPr>
        <w:tab/>
      </w:r>
      <w:r w:rsidRPr="00B52D63">
        <w:rPr>
          <w:szCs w:val="22"/>
          <w:lang w:val="it-IT"/>
        </w:rPr>
        <w:t>5310.00 ha;</w:t>
      </w:r>
      <w:r>
        <w:rPr>
          <w:szCs w:val="22"/>
          <w:lang w:val="it-IT"/>
        </w:rPr>
        <w:tab/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 xml:space="preserve">b) Sipërfaqe bujqësore (Tokë bujqësore, pemëtore, ullishta </w:t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dhe vreshta)</w:t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  <w:t>9078.42 ha;</w:t>
      </w:r>
      <w:r w:rsidRPr="00B52D63">
        <w:rPr>
          <w:szCs w:val="22"/>
          <w:lang w:val="it-IT"/>
        </w:rPr>
        <w:tab/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c) Sipërfaqe ujore (Laguna, godulla, lumenj dhe ujëmbledhës)</w:t>
      </w:r>
      <w:r w:rsidRPr="00B52D63">
        <w:rPr>
          <w:szCs w:val="22"/>
          <w:lang w:val="it-IT"/>
        </w:rPr>
        <w:tab/>
      </w:r>
      <w:r>
        <w:rPr>
          <w:szCs w:val="22"/>
          <w:lang w:val="it-IT"/>
        </w:rPr>
        <w:tab/>
      </w:r>
      <w:r w:rsidRPr="00B52D63">
        <w:rPr>
          <w:szCs w:val="22"/>
          <w:lang w:val="it-IT"/>
        </w:rPr>
        <w:t>6408.90 ha;</w:t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ç) Sipërfaqe joprodhuese (Ranore dhe e zhveshur)</w:t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</w:r>
      <w:r w:rsidRPr="00B52D63">
        <w:rPr>
          <w:szCs w:val="22"/>
          <w:lang w:val="it-IT"/>
        </w:rPr>
        <w:tab/>
        <w:t>1120.71 ha;</w:t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d) Sipë</w:t>
      </w:r>
      <w:r>
        <w:rPr>
          <w:szCs w:val="22"/>
          <w:lang w:val="it-IT"/>
        </w:rPr>
        <w:t>rfaqe urbane</w:t>
      </w:r>
      <w:r w:rsidRPr="00B52D63">
        <w:rPr>
          <w:szCs w:val="22"/>
          <w:lang w:val="it-IT"/>
        </w:rPr>
        <w:t xml:space="preserve"> e përzier me tokë bujqësore, pemëtore dhe pyjore</w:t>
      </w:r>
      <w:r w:rsidRPr="00B52D63">
        <w:rPr>
          <w:szCs w:val="22"/>
          <w:lang w:val="it-IT"/>
        </w:rPr>
        <w:tab/>
        <w:t>312.21 ha.</w:t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 xml:space="preserve">4. </w:t>
      </w:r>
      <w:r>
        <w:rPr>
          <w:szCs w:val="22"/>
          <w:lang w:val="it-IT"/>
        </w:rPr>
        <w:t>“Parku k</w:t>
      </w:r>
      <w:r w:rsidRPr="00B52D63">
        <w:rPr>
          <w:szCs w:val="22"/>
          <w:lang w:val="it-IT"/>
        </w:rPr>
        <w:t>ombëtar i Divjakë-Karavastasë ndahet në nënzona ruajtjeje e administrimi, si më poshtë vijon:</w:t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a) Zona qendrore, me sipë</w:t>
      </w:r>
      <w:r>
        <w:rPr>
          <w:szCs w:val="22"/>
          <w:lang w:val="it-IT"/>
        </w:rPr>
        <w:t>rfaqe 4189.70 ha (</w:t>
      </w:r>
      <w:r w:rsidRPr="00B52D63">
        <w:rPr>
          <w:szCs w:val="22"/>
          <w:lang w:val="it-IT"/>
        </w:rPr>
        <w:t>e shënuar në hartë me “ZQ”), përfshin habitatet e Kularit, Pishës së Divjakës, godullën e Dajlanit dhe ishujt e folenizimit të</w:t>
      </w:r>
      <w:r>
        <w:rPr>
          <w:szCs w:val="22"/>
          <w:lang w:val="it-IT"/>
        </w:rPr>
        <w:t xml:space="preserve"> pelikanit kaçurrel</w:t>
      </w:r>
      <w:r w:rsidRPr="00B52D63">
        <w:rPr>
          <w:szCs w:val="22"/>
          <w:lang w:val="it-IT"/>
        </w:rPr>
        <w:t xml:space="preserve"> në lagunën e Karavastasë. Ajo përcaktohet si zonë me vlera të larta, për natyrën dhe biodiversitetin, dhe në të zbatohet shkalla e dytë e mbrojtjes, që siguron një territor të pashqetësuar.</w:t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b) Zona e përdorimit të qëndrueshëm, me sipërfaqe 7788.44 ha (e shënuar në hartë me “ZPQ”</w:t>
      </w:r>
      <w:r>
        <w:rPr>
          <w:szCs w:val="22"/>
          <w:lang w:val="it-IT"/>
        </w:rPr>
        <w:t>)</w:t>
      </w:r>
      <w:r w:rsidRPr="00B52D63">
        <w:rPr>
          <w:szCs w:val="22"/>
          <w:lang w:val="it-IT"/>
        </w:rPr>
        <w:t>, ku lejohen të ushtrohen veprimtari ekonomike, si dhe veprimtari të reja, vetëm pasi të pajisen me leje mjedisi. Në këtë zonë përfshihen laguna e Karavastasë, territoret ndërmjet dy shtretërve të lumit Shkumbin, ato të Kularit e Sulzotajt dhe territori ndërmjet ujëmbledhësit të Myzeqesë dhe lumit Seman. Në zonën e përdorimit të qëndrueshëm zbatohet shkalla e tretë e mbrojtjes.</w:t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 xml:space="preserve">c) Zona e përdorimit tradicional, me sipërfaqe 9261.87 ha (e shënuar në hartë me “ZPT”), mundëson vazhdimin e veprimtarive tradicionale dhe ekonomike, si dhe lejon të ushtrohen veprimtari të reja, vetëm pasi të pajisen me leje mjedisi. Në këtë zonë përfshihen territoret bujqësore, ujore e pyjore, ato rreth qendrave të banuara, të Bedatit dhe kodrat e Divjakës. Në zonën e përdorimit </w:t>
      </w:r>
      <w:r w:rsidRPr="00B52D63">
        <w:rPr>
          <w:szCs w:val="22"/>
          <w:lang w:val="it-IT"/>
        </w:rPr>
        <w:lastRenderedPageBreak/>
        <w:t>tradicional zbatohet shkalla e pestë e mbrojtjes.</w:t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ç) Zona rekreative, me sipërfaqe 990.23 ha (e shënuar në hartë me “ZR”), përbën zonën me mundësi rekreative, në natyrë të hapur, në përputhje me funksionet e zonës së mbrojtur, vlerat ekologjike, të peizazhit natyror dhe vlerat turistike e kulturore. Në këtë zonë përfshihet brezi bregdetar ranor ndërmjet dy shtretërve të lumit Shkumbin, territori nga grykëderdhja e ujëmbledhësit të Tërbufit, pjesët që mbeten jashtë zonës pyjore të gardhuar të pishës së Divjakës dhe territori i plazhit (pjesa ranore, ndërtesat dhe kabinat e pushuesve) deri te kanali i parë i lagunës së Karavastasë; brezi bregdetar ranor i Bedatit dhe ai ndërmjet grykëderdhjes së ujëmbledhësit të Myzeqesë deri te grykëderdhja e lumit Seman. Në zonën rekreative zbatohet shkalla e katërt e mbrojtjes.</w:t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5. Ministria e Mjedisit, Pyjeve dhe Administrimit të Ujërave dhe ministri të tjera të linjës, në bashkëpunim me njësitë e qeverisjes vendore, me institucionet kërkimore-shkencore, me përfaqësuesit e biznesit dhe të pronarëve privatë, brenda 1 viti nga hyrja në fuqi e këtij vendimi, hartojnë planin e menaxhimit të “Parkut kombëtar”.</w:t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6. Ministria e Punëve Publike, Transportit dhe Telekomunikacionit, Ministria e Turizmit, Kulturës, Rinisë dhe Sporteve në bashkëpunim me ministritë e tjera të linjës dhe me njësitë e qeverisjes vendore, brenda një viti nga hyrja në fuqi e këtij vendimi, të kryejnë studimin urbanistik rajonal të zonës</w:t>
      </w:r>
      <w:r>
        <w:rPr>
          <w:szCs w:val="22"/>
          <w:lang w:val="it-IT"/>
        </w:rPr>
        <w:t>,</w:t>
      </w:r>
      <w:r w:rsidRPr="00B52D63">
        <w:rPr>
          <w:szCs w:val="22"/>
          <w:lang w:val="it-IT"/>
        </w:rPr>
        <w:t xml:space="preserve"> në përputhje me synimet dhe objektivat e menaxhimit të këtij “Parku kombëtar.”</w:t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7. Administrata ekzistuese e zonës së mbrojtur të “Parkut kombëtar” të Divjakës dhe e ekosistemit lagunor të Karavastasë do të kryejë funksionet e administratës së “Parkut kombëtar” të Divjakë-Karavastasë, me sipërfaqe të zgjeruar.</w:t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8. Ngarkohen Ministria e Mjedisit, Pyjeve dhe Administrimit të Ujërave dhe organet përkatëse të qeverisjes vendore për zbatimin e këtij vendimi.</w:t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  <w:r w:rsidRPr="00B52D63">
        <w:rPr>
          <w:szCs w:val="22"/>
          <w:lang w:val="it-IT"/>
        </w:rPr>
        <w:t>Ky vendim hyn në fuqi pas botimit në Fletoren Zyrtare.</w:t>
      </w:r>
    </w:p>
    <w:p w:rsidR="00D0540E" w:rsidRPr="00B52D63" w:rsidRDefault="00D0540E" w:rsidP="00D0540E">
      <w:pPr>
        <w:pStyle w:val="Paragrafi"/>
        <w:rPr>
          <w:szCs w:val="22"/>
          <w:lang w:val="it-IT"/>
        </w:rPr>
      </w:pPr>
    </w:p>
    <w:p w:rsidR="00D0540E" w:rsidRPr="00B52D63" w:rsidRDefault="00D0540E" w:rsidP="00D0540E">
      <w:pPr>
        <w:pStyle w:val="Autoriteti"/>
      </w:pPr>
      <w:r w:rsidRPr="00B52D63">
        <w:t>Kryeministri</w:t>
      </w:r>
    </w:p>
    <w:p w:rsidR="00D0540E" w:rsidRPr="00B52D63" w:rsidRDefault="00D0540E" w:rsidP="00D0540E">
      <w:pPr>
        <w:pStyle w:val="AutoritetiEmer"/>
      </w:pPr>
      <w:r w:rsidRPr="00B52D63">
        <w:t>Sali Berisha</w:t>
      </w:r>
    </w:p>
    <w:p w:rsidR="00D0540E" w:rsidRPr="00B52D63" w:rsidRDefault="00D0540E" w:rsidP="00D0540E">
      <w:pPr>
        <w:pStyle w:val="Paragrafi"/>
        <w:rPr>
          <w:szCs w:val="22"/>
          <w:lang w:val="en-GB"/>
        </w:rPr>
      </w:pPr>
    </w:p>
    <w:p w:rsidR="00D0540E" w:rsidRPr="00B52D63" w:rsidRDefault="00D0540E" w:rsidP="00D0540E">
      <w:pPr>
        <w:pStyle w:val="Paragrafi"/>
        <w:rPr>
          <w:szCs w:val="22"/>
          <w:lang w:val="en-GB"/>
        </w:rPr>
      </w:pPr>
    </w:p>
    <w:p w:rsidR="00D0540E" w:rsidRPr="00B52D63" w:rsidRDefault="00D0540E" w:rsidP="00D0540E">
      <w:pPr>
        <w:pStyle w:val="Paragrafi"/>
        <w:rPr>
          <w:szCs w:val="22"/>
          <w:lang w:val="en-GB"/>
        </w:rPr>
      </w:pPr>
    </w:p>
    <w:p w:rsidR="00D0540E" w:rsidRPr="00B52D63" w:rsidRDefault="00D0540E" w:rsidP="00D0540E">
      <w:pPr>
        <w:pStyle w:val="Paragrafi"/>
        <w:rPr>
          <w:szCs w:val="22"/>
          <w:lang w:val="en-GB"/>
        </w:rPr>
      </w:pPr>
    </w:p>
    <w:p w:rsidR="00D0540E" w:rsidRPr="00B52D63" w:rsidRDefault="00D0540E" w:rsidP="00D0540E">
      <w:pPr>
        <w:pStyle w:val="Paragrafi"/>
        <w:rPr>
          <w:szCs w:val="22"/>
          <w:lang w:val="en-GB"/>
        </w:rPr>
      </w:pPr>
    </w:p>
    <w:p w:rsidR="00D0540E" w:rsidRPr="00B52D63" w:rsidRDefault="00D0540E" w:rsidP="00D0540E">
      <w:pPr>
        <w:pStyle w:val="Paragrafi"/>
        <w:rPr>
          <w:szCs w:val="22"/>
          <w:lang w:val="en-GB"/>
        </w:rPr>
      </w:pPr>
    </w:p>
    <w:p w:rsidR="00D0540E" w:rsidRPr="00B52D63" w:rsidRDefault="00D0540E" w:rsidP="00D0540E">
      <w:pPr>
        <w:pStyle w:val="Paragrafi"/>
        <w:rPr>
          <w:szCs w:val="22"/>
          <w:lang w:val="en-GB"/>
        </w:rPr>
      </w:pPr>
    </w:p>
    <w:p w:rsidR="00D0540E" w:rsidRPr="00B52D63" w:rsidRDefault="00D0540E" w:rsidP="00D0540E">
      <w:pPr>
        <w:pStyle w:val="Paragrafi"/>
        <w:rPr>
          <w:szCs w:val="22"/>
          <w:lang w:val="en-GB"/>
        </w:rPr>
      </w:pPr>
    </w:p>
    <w:p w:rsidR="00D0540E" w:rsidRPr="00B52D63" w:rsidRDefault="00D0540E" w:rsidP="00D0540E">
      <w:pPr>
        <w:pStyle w:val="Paragrafi"/>
        <w:rPr>
          <w:szCs w:val="22"/>
          <w:lang w:val="en-GB"/>
        </w:rPr>
      </w:pPr>
    </w:p>
    <w:p w:rsidR="00D0540E" w:rsidRPr="00B52D63" w:rsidRDefault="00D0540E" w:rsidP="00D0540E">
      <w:pPr>
        <w:pStyle w:val="Paragrafi"/>
        <w:rPr>
          <w:szCs w:val="22"/>
          <w:lang w:val="en-GB"/>
        </w:rPr>
      </w:pPr>
    </w:p>
    <w:p w:rsidR="00D0540E" w:rsidRPr="00B52D63" w:rsidRDefault="00D0540E" w:rsidP="00D0540E">
      <w:pPr>
        <w:pStyle w:val="Paragrafi"/>
        <w:rPr>
          <w:szCs w:val="22"/>
          <w:lang w:val="en-GB"/>
        </w:rPr>
      </w:pPr>
    </w:p>
    <w:p w:rsidR="00D0540E" w:rsidRPr="00B52D63" w:rsidRDefault="00DD69E2" w:rsidP="00D0540E">
      <w:pPr>
        <w:pStyle w:val="Figure"/>
        <w:rPr>
          <w:lang w:val="en-GB"/>
        </w:rPr>
      </w:pPr>
      <w:r w:rsidRPr="00B52D63">
        <w:rPr>
          <w:noProof/>
        </w:rPr>
        <w:lastRenderedPageBreak/>
        <w:drawing>
          <wp:inline distT="0" distB="0" distL="0" distR="0">
            <wp:extent cx="5581650" cy="8258175"/>
            <wp:effectExtent l="0" t="0" r="0" b="9525"/>
            <wp:docPr id="1" name="Picture 1" descr="harta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ta per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40E" w:rsidRPr="00B52D63" w:rsidRDefault="00D0540E" w:rsidP="00D0540E">
      <w:pPr>
        <w:pStyle w:val="Paragrafi"/>
        <w:rPr>
          <w:szCs w:val="22"/>
          <w:lang w:val="en-GB"/>
        </w:rPr>
      </w:pPr>
    </w:p>
    <w:p w:rsidR="00D0540E" w:rsidRPr="00B52D63" w:rsidRDefault="00D0540E" w:rsidP="00D0540E">
      <w:pPr>
        <w:pStyle w:val="Paragrafi"/>
        <w:rPr>
          <w:szCs w:val="22"/>
          <w:lang w:val="en-GB"/>
        </w:rPr>
      </w:pPr>
    </w:p>
    <w:p w:rsidR="00D0540E" w:rsidRPr="00C84B66" w:rsidRDefault="00D0540E" w:rsidP="00D0540E">
      <w:pPr>
        <w:pStyle w:val="Paragrafi"/>
      </w:pPr>
    </w:p>
    <w:sectPr w:rsidR="00D0540E" w:rsidRPr="00C84B66" w:rsidSect="00D0540E">
      <w:footerReference w:type="even" r:id="rId7"/>
      <w:footerReference w:type="default" r:id="rId8"/>
      <w:pgSz w:w="11907" w:h="16840" w:code="9"/>
      <w:pgMar w:top="1418" w:right="1418" w:bottom="1418" w:left="1418" w:header="0" w:footer="1134" w:gutter="0"/>
      <w:pgNumType w:start="398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D69E2">
      <w:r>
        <w:separator/>
      </w:r>
    </w:p>
  </w:endnote>
  <w:endnote w:type="continuationSeparator" w:id="0">
    <w:p w:rsidR="00000000" w:rsidRDefault="00DD6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40E" w:rsidRDefault="00D0540E" w:rsidP="00D0540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0540E" w:rsidRDefault="00D0540E" w:rsidP="00D0540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40E" w:rsidRDefault="00D0540E" w:rsidP="00D0540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69E2">
      <w:rPr>
        <w:rStyle w:val="PageNumber"/>
        <w:noProof/>
      </w:rPr>
      <w:t>3989</w:t>
    </w:r>
    <w:r>
      <w:rPr>
        <w:rStyle w:val="PageNumber"/>
      </w:rPr>
      <w:fldChar w:fldCharType="end"/>
    </w:r>
  </w:p>
  <w:p w:rsidR="00D0540E" w:rsidRDefault="00D0540E" w:rsidP="00D0540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D69E2">
      <w:r>
        <w:separator/>
      </w:r>
    </w:p>
  </w:footnote>
  <w:footnote w:type="continuationSeparator" w:id="0">
    <w:p w:rsidR="00000000" w:rsidRDefault="00DD69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0540E"/>
    <w:rsid w:val="000178C2"/>
    <w:rsid w:val="00953DF5"/>
    <w:rsid w:val="00C84B66"/>
    <w:rsid w:val="00D0540E"/>
    <w:rsid w:val="00DD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E67EF2D-8396-4C45-9D78-76D8F66EC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40E"/>
    <w:rPr>
      <w:sz w:val="24"/>
      <w:szCs w:val="24"/>
    </w:rPr>
  </w:style>
  <w:style w:type="paragraph" w:styleId="Heading1">
    <w:name w:val="heading 1"/>
    <w:basedOn w:val="Normal"/>
    <w:next w:val="Normal"/>
    <w:qFormat/>
    <w:rsid w:val="00953D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953DF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953DF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953DF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953DF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953DF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953DF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953DF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Titull">
    <w:name w:val="Titulli_Titull"/>
    <w:rsid w:val="00953DF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DDRESS">
    <w:name w:val="ADDRESS"/>
    <w:basedOn w:val="Normal"/>
    <w:rsid w:val="00953DF5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953DF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953DF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utoritetiEmerCharChar">
    <w:name w:val="Autoriteti_Emer Char Char"/>
    <w:basedOn w:val="DefaultParagraphFont"/>
    <w:rsid w:val="00953DF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953DF5"/>
    <w:pPr>
      <w:widowControl w:val="0"/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953DF5"/>
    <w:pPr>
      <w:widowControl w:val="0"/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953DF5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953DF5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953DF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ULLETUDHEZIM">
    <w:name w:val="BULLET UDHEZIM"/>
    <w:basedOn w:val="Normal"/>
    <w:rsid w:val="00953DF5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extraclauses">
    <w:name w:val="extra_clauses"/>
    <w:basedOn w:val="Normal"/>
    <w:rsid w:val="00953DF5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953DF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953DF5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Kapakufund">
    <w:name w:val="Kapaku_fund"/>
    <w:next w:val="Normal"/>
    <w:rsid w:val="00953DF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953DF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953DF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953DF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953DF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953DF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953DF5"/>
    <w:pPr>
      <w:widowControl w:val="0"/>
      <w:spacing w:after="120"/>
      <w:jc w:val="both"/>
    </w:pPr>
    <w:rPr>
      <w:rFonts w:ascii="Bookman Old Style" w:hAnsi="Bookman Old Style"/>
      <w:sz w:val="22"/>
      <w:szCs w:val="20"/>
      <w:lang w:val="sq-AL"/>
    </w:rPr>
  </w:style>
  <w:style w:type="paragraph" w:customStyle="1" w:styleId="numberedindent">
    <w:name w:val="numberedindent"/>
    <w:rsid w:val="00953DF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Pas">
    <w:name w:val="Pas"/>
    <w:basedOn w:val="Normal"/>
    <w:rsid w:val="00953DF5"/>
  </w:style>
  <w:style w:type="paragraph" w:customStyle="1" w:styleId="Pika">
    <w:name w:val="Pika"/>
    <w:next w:val="Normal"/>
    <w:autoRedefine/>
    <w:rsid w:val="00953DF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953DF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953DF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953DF5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953DF5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953DF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953DF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styleId="Footer">
    <w:name w:val="footer"/>
    <w:basedOn w:val="Normal"/>
    <w:rsid w:val="00D0540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0540E"/>
  </w:style>
  <w:style w:type="character" w:customStyle="1" w:styleId="TitulliChar">
    <w:name w:val="Titulli Char"/>
    <w:basedOn w:val="DefaultParagraphFont"/>
    <w:link w:val="Titulli"/>
    <w:rsid w:val="00D0540E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2019-04-03T13:26:00Z</dcterms:created>
  <dcterms:modified xsi:type="dcterms:W3CDTF">2019-04-03T13:26:00Z</dcterms:modified>
</cp:coreProperties>
</file>