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E37" w:rsidRPr="00324680" w:rsidRDefault="00B85E37" w:rsidP="00B85E37">
      <w:pPr>
        <w:pStyle w:val="Akti"/>
        <w:keepNext w:val="0"/>
        <w:rPr>
          <w:lang w:val="sq-AL"/>
        </w:rPr>
      </w:pPr>
      <w:bookmarkStart w:id="0" w:name="_GoBack"/>
      <w:bookmarkEnd w:id="0"/>
      <w:r w:rsidRPr="00324680">
        <w:rPr>
          <w:lang w:val="sq-AL"/>
        </w:rPr>
        <w:t>VENDIM</w:t>
      </w:r>
    </w:p>
    <w:p w:rsidR="00B85E37" w:rsidRPr="00324680" w:rsidRDefault="00B85E37" w:rsidP="00B85E37">
      <w:pPr>
        <w:pStyle w:val="NumriData"/>
        <w:keepNext w:val="0"/>
        <w:rPr>
          <w:lang w:val="sq-AL"/>
        </w:rPr>
      </w:pPr>
      <w:r w:rsidRPr="00324680">
        <w:rPr>
          <w:lang w:val="sq-AL"/>
        </w:rPr>
        <w:t> Nr.842, datë 29.11.2007</w:t>
      </w:r>
    </w:p>
    <w:p w:rsidR="00B85E37" w:rsidRPr="00857001" w:rsidRDefault="00B85E37" w:rsidP="00B85E37">
      <w:pPr>
        <w:pStyle w:val="Paragrafi"/>
        <w:rPr>
          <w:lang w:val="sq-AL"/>
        </w:rPr>
      </w:pPr>
    </w:p>
    <w:p w:rsidR="00B85E37" w:rsidRPr="00324680" w:rsidRDefault="00B85E37" w:rsidP="00B85E37">
      <w:pPr>
        <w:pStyle w:val="Titulli"/>
        <w:keepNext w:val="0"/>
        <w:rPr>
          <w:lang w:val="sq-AL"/>
        </w:rPr>
      </w:pPr>
      <w:r w:rsidRPr="00324680">
        <w:rPr>
          <w:lang w:val="sq-AL"/>
        </w:rPr>
        <w:t>PËR SHPRONËSIMIN, PËR INTERES PUBLIK, TË PRONARIT TË PASURISË SË PALUAJTSHME, PRONË PRIVATE, QË PREKET NGA REHABILITIMI I RRËSHQITJES “GURI RENZIT”, LIBRAZHD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B85E37" w:rsidRPr="00857001" w:rsidRDefault="00B85E37" w:rsidP="00EE2502">
      <w:pPr>
        <w:pStyle w:val="BazLigjPropozues"/>
      </w:pPr>
      <w:r w:rsidRPr="00857001">
        <w:t>Në mbështetje të nenit 100 të Kushtetutë</w:t>
      </w:r>
      <w:r>
        <w:t>s, të neneve 5, pika 1, 20 e 21</w:t>
      </w:r>
      <w:r w:rsidRPr="00857001">
        <w:t xml:space="preserve"> të  ligjit nr.8561, datë 22.12.1999 “Për shpronësimet dhe marrjen në përdorim të përkohshëm të pasurisë pronë private, për interes publik”, dhe të nenit 8 të </w:t>
      </w:r>
      <w:r>
        <w:t>ligjit nr.9464, datë 28.12.2005</w:t>
      </w:r>
      <w:r w:rsidRPr="00857001">
        <w:t xml:space="preserve"> “Për Buxhetin e Shtetit të vitit 2006”, të ndryshuar, me propozimin e Ministrit të Punëve Publike, Transportit dhe Telekomunikacionit, Këshilli i Ministrave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B85E37" w:rsidRPr="00324680" w:rsidRDefault="00B85E37" w:rsidP="00B85E37">
      <w:pPr>
        <w:pStyle w:val="VENDOSI"/>
        <w:keepNext w:val="0"/>
        <w:rPr>
          <w:lang w:val="sq-AL"/>
        </w:rPr>
      </w:pPr>
      <w:r w:rsidRPr="00324680">
        <w:rPr>
          <w:lang w:val="sq-AL"/>
        </w:rPr>
        <w:t>VENDOSI: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1. Shpronësimin, për interes publik, të pronarit të pasurisë së paluajtshme, pronë private, që preket nga rehabilitimi i rrëshqitjes “Guri Renzit”, Librazhd.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2. Shpronësimi të bëhet në favor të Drejtorisë së Përgjithshme të Rrugëve.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3. Pronari i pasurisë së paluajtshme, që shpronësohet, të kompensohet në vlerë të plotë, sipas masës përkatëse, që paraqitet në tabelën, që i bashkëlidhet këtij vendimi, për sipërfaqen 850 m</w:t>
      </w:r>
      <w:r w:rsidRPr="00857001">
        <w:rPr>
          <w:vertAlign w:val="superscript"/>
          <w:lang w:val="sq-AL"/>
        </w:rPr>
        <w:t>2</w:t>
      </w:r>
      <w:r w:rsidRPr="00857001">
        <w:rPr>
          <w:lang w:val="sq-AL"/>
        </w:rPr>
        <w:t>, tokë arë,  vlerësuar me çmimin  600 lekë/m</w:t>
      </w:r>
      <w:r w:rsidRPr="00857001">
        <w:rPr>
          <w:vertAlign w:val="superscript"/>
          <w:lang w:val="sq-AL"/>
        </w:rPr>
        <w:t>2</w:t>
      </w:r>
      <w:r w:rsidRPr="00857001">
        <w:rPr>
          <w:lang w:val="sq-AL"/>
        </w:rPr>
        <w:t xml:space="preserve">, me vlerë të përgjithshme shpronësimi 510 000 (pesëqind e dhjetë mijë) lekë. 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 xml:space="preserve"> 4. Shpenzimet procedurale, në vlerën  151 000 (njëqind e pesëdhjetë e një mijë) lekë, të përballohen nga Drejtoria e Përgjithshme e Rrugëve. 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5. Vlera e përgjithshme e shpronësimit, prej 510 000 (pesëqind e dhjetë mijë) lekësh, të përballohet nga llogaria e veçantë e Ministrisë së Financave në Bankën e Shqipërisë, “Fondi i shpronësimeve”.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 xml:space="preserve">6. Shpronësimi të fillojë më 30.11.2007 dhe të përfundojë më 30.12.2007. 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7. Pronari i përmendur në listën, që i bashkëlidhet këtij vendimi, për të cilin është bërë shënimi “Plotësim dokumentacioni”, të kompensohet, për efekt shpronësimi, pasi të ketë paraqitur dokumentacionin e plotë të pronësisë pranë Drejtorisë së Përgjithshme të Rrugëve.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8. Ngarkohen Ministria e Punëve Publike, Transportit dhe Telekomunikacionit, Ministria e Financave dhe Drejtoria e Përgjithshme e Rrugëve për zbatimin e këtij vendimi.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Ky vendim hyn në fuqi menjëherë dhe botohet në Fletoren Zyrtare.</w:t>
      </w:r>
    </w:p>
    <w:p w:rsidR="00B85E37" w:rsidRPr="00857001" w:rsidRDefault="00B85E37" w:rsidP="00B85E37">
      <w:pPr>
        <w:pStyle w:val="Paragrafi"/>
        <w:rPr>
          <w:lang w:val="sq-AL"/>
        </w:rPr>
      </w:pPr>
      <w:r w:rsidRPr="00857001">
        <w:rPr>
          <w:lang w:val="sq-AL"/>
        </w:rPr>
        <w:t> </w:t>
      </w:r>
    </w:p>
    <w:p w:rsidR="00B85E37" w:rsidRPr="00324680" w:rsidRDefault="00B85E37" w:rsidP="00B85E37">
      <w:pPr>
        <w:pStyle w:val="Autoriteti"/>
        <w:keepNext w:val="0"/>
        <w:rPr>
          <w:lang w:val="it-IT"/>
        </w:rPr>
      </w:pPr>
      <w:r w:rsidRPr="00324680">
        <w:rPr>
          <w:lang w:val="it-IT"/>
        </w:rPr>
        <w:t>KRYEMINISTRI</w:t>
      </w:r>
    </w:p>
    <w:p w:rsidR="00B85E37" w:rsidRPr="00324680" w:rsidRDefault="00B85E37" w:rsidP="00B85E37">
      <w:pPr>
        <w:pStyle w:val="AutoritetiEmer"/>
        <w:rPr>
          <w:lang w:val="it-IT"/>
        </w:rPr>
      </w:pPr>
      <w:r w:rsidRPr="00324680">
        <w:rPr>
          <w:lang w:val="it-IT"/>
        </w:rPr>
        <w:t>Sali Berisha</w:t>
      </w:r>
    </w:p>
    <w:p w:rsidR="00B85E37" w:rsidRPr="00857001" w:rsidRDefault="00B85E37" w:rsidP="00B85E37">
      <w:pPr>
        <w:pStyle w:val="Paragrafi"/>
        <w:rPr>
          <w:lang w:val="sq-AL"/>
        </w:rPr>
      </w:pPr>
    </w:p>
    <w:p w:rsidR="00B85E37" w:rsidRPr="00857001" w:rsidRDefault="00B85E37" w:rsidP="00B85E37">
      <w:pPr>
        <w:pStyle w:val="Paragrafi"/>
        <w:rPr>
          <w:lang w:val="sq-AL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56"/>
        <w:gridCol w:w="1663"/>
        <w:gridCol w:w="1318"/>
        <w:gridCol w:w="1285"/>
        <w:gridCol w:w="1270"/>
        <w:gridCol w:w="1261"/>
        <w:gridCol w:w="1634"/>
      </w:tblGrid>
      <w:tr w:rsidR="00B85E37" w:rsidRPr="00FC0DF1">
        <w:tc>
          <w:tcPr>
            <w:tcW w:w="856" w:type="dxa"/>
          </w:tcPr>
          <w:p w:rsidR="00B85E37" w:rsidRPr="00FC0DF1" w:rsidRDefault="00B85E37" w:rsidP="00B85E37">
            <w:pPr>
              <w:pStyle w:val="Tabele"/>
            </w:pPr>
            <w:r w:rsidRPr="00FC0DF1">
              <w:t>Nr</w:t>
            </w:r>
          </w:p>
        </w:tc>
        <w:tc>
          <w:tcPr>
            <w:tcW w:w="1663" w:type="dxa"/>
          </w:tcPr>
          <w:p w:rsidR="00B85E37" w:rsidRPr="00FC0DF1" w:rsidRDefault="00B85E37" w:rsidP="00B85E37">
            <w:pPr>
              <w:pStyle w:val="Tabele"/>
            </w:pPr>
            <w:r>
              <w:t>Emri</w:t>
            </w:r>
          </w:p>
        </w:tc>
        <w:tc>
          <w:tcPr>
            <w:tcW w:w="1318" w:type="dxa"/>
          </w:tcPr>
          <w:p w:rsidR="00B85E37" w:rsidRPr="00FC0DF1" w:rsidRDefault="00B85E37" w:rsidP="00B85E37">
            <w:pPr>
              <w:pStyle w:val="Tabele"/>
            </w:pPr>
            <w:r>
              <w:t>Nr.pasurisë</w:t>
            </w:r>
          </w:p>
        </w:tc>
        <w:tc>
          <w:tcPr>
            <w:tcW w:w="1285" w:type="dxa"/>
          </w:tcPr>
          <w:p w:rsidR="00B85E37" w:rsidRPr="00FC0DF1" w:rsidRDefault="00B85E37" w:rsidP="00B85E37">
            <w:pPr>
              <w:pStyle w:val="Tabele"/>
            </w:pPr>
            <w:r>
              <w:t>Sipërfaqe m</w:t>
            </w:r>
            <w:r w:rsidRPr="00810964">
              <w:rPr>
                <w:vertAlign w:val="superscript"/>
              </w:rPr>
              <w:t>2</w:t>
            </w:r>
          </w:p>
        </w:tc>
        <w:tc>
          <w:tcPr>
            <w:tcW w:w="1270" w:type="dxa"/>
          </w:tcPr>
          <w:p w:rsidR="00B85E37" w:rsidRPr="00FC0DF1" w:rsidRDefault="00B85E37" w:rsidP="00B85E37">
            <w:pPr>
              <w:pStyle w:val="Tabele"/>
            </w:pPr>
            <w:r>
              <w:t>Çmimi lekë/m</w:t>
            </w:r>
            <w:r w:rsidRPr="00810964">
              <w:rPr>
                <w:vertAlign w:val="superscript"/>
              </w:rPr>
              <w:t>2</w:t>
            </w:r>
          </w:p>
        </w:tc>
        <w:tc>
          <w:tcPr>
            <w:tcW w:w="1261" w:type="dxa"/>
          </w:tcPr>
          <w:p w:rsidR="00B85E37" w:rsidRPr="00FC0DF1" w:rsidRDefault="00B85E37" w:rsidP="00B85E37">
            <w:pPr>
              <w:pStyle w:val="Tabele"/>
            </w:pPr>
            <w:r>
              <w:t>Vlera lekë</w:t>
            </w:r>
          </w:p>
        </w:tc>
        <w:tc>
          <w:tcPr>
            <w:tcW w:w="1634" w:type="dxa"/>
          </w:tcPr>
          <w:p w:rsidR="00B85E37" w:rsidRPr="00FC0DF1" w:rsidRDefault="00B85E37" w:rsidP="00B85E37">
            <w:pPr>
              <w:pStyle w:val="Tabele"/>
            </w:pPr>
            <w:r>
              <w:t>Shënime</w:t>
            </w:r>
          </w:p>
        </w:tc>
      </w:tr>
      <w:tr w:rsidR="00B85E37" w:rsidRPr="00FC0DF1">
        <w:tc>
          <w:tcPr>
            <w:tcW w:w="856" w:type="dxa"/>
          </w:tcPr>
          <w:p w:rsidR="00B85E37" w:rsidRPr="00FC0DF1" w:rsidRDefault="00B85E37" w:rsidP="00B85E37">
            <w:pPr>
              <w:pStyle w:val="Tabele"/>
            </w:pPr>
            <w:r>
              <w:t>1.</w:t>
            </w:r>
          </w:p>
        </w:tc>
        <w:tc>
          <w:tcPr>
            <w:tcW w:w="1663" w:type="dxa"/>
          </w:tcPr>
          <w:p w:rsidR="00B85E37" w:rsidRPr="00FC0DF1" w:rsidRDefault="00B85E37" w:rsidP="00B85E37">
            <w:pPr>
              <w:pStyle w:val="Tabele"/>
            </w:pPr>
            <w:r>
              <w:t xml:space="preserve">Shefki Mehmet </w:t>
            </w:r>
            <w:r>
              <w:lastRenderedPageBreak/>
              <w:t>Dosku</w:t>
            </w:r>
          </w:p>
        </w:tc>
        <w:tc>
          <w:tcPr>
            <w:tcW w:w="1318" w:type="dxa"/>
          </w:tcPr>
          <w:p w:rsidR="00B85E37" w:rsidRPr="00FC0DF1" w:rsidRDefault="00B85E37" w:rsidP="00B85E37">
            <w:pPr>
              <w:pStyle w:val="Tabele"/>
            </w:pPr>
            <w:r>
              <w:lastRenderedPageBreak/>
              <w:t>596</w:t>
            </w:r>
          </w:p>
        </w:tc>
        <w:tc>
          <w:tcPr>
            <w:tcW w:w="1285" w:type="dxa"/>
          </w:tcPr>
          <w:p w:rsidR="00B85E37" w:rsidRPr="00FC0DF1" w:rsidRDefault="00B85E37" w:rsidP="00B85E37">
            <w:pPr>
              <w:pStyle w:val="Tabele"/>
            </w:pPr>
            <w:r>
              <w:t>850</w:t>
            </w:r>
          </w:p>
        </w:tc>
        <w:tc>
          <w:tcPr>
            <w:tcW w:w="1270" w:type="dxa"/>
          </w:tcPr>
          <w:p w:rsidR="00B85E37" w:rsidRPr="00FC0DF1" w:rsidRDefault="00B85E37" w:rsidP="00B85E37">
            <w:pPr>
              <w:pStyle w:val="Tabele"/>
            </w:pPr>
            <w:r>
              <w:t>600</w:t>
            </w:r>
          </w:p>
        </w:tc>
        <w:tc>
          <w:tcPr>
            <w:tcW w:w="1261" w:type="dxa"/>
          </w:tcPr>
          <w:p w:rsidR="00B85E37" w:rsidRPr="00FC0DF1" w:rsidRDefault="00B85E37" w:rsidP="00B85E37">
            <w:pPr>
              <w:pStyle w:val="Tabele"/>
            </w:pPr>
            <w:r>
              <w:t>51 0000</w:t>
            </w:r>
          </w:p>
        </w:tc>
        <w:tc>
          <w:tcPr>
            <w:tcW w:w="1634" w:type="dxa"/>
          </w:tcPr>
          <w:p w:rsidR="00B85E37" w:rsidRPr="00FC0DF1" w:rsidRDefault="00B85E37" w:rsidP="00B85E37">
            <w:pPr>
              <w:pStyle w:val="Tabele"/>
            </w:pPr>
            <w:r>
              <w:t xml:space="preserve">Plotësim </w:t>
            </w:r>
            <w:r>
              <w:lastRenderedPageBreak/>
              <w:t>dokumentacioni</w:t>
            </w:r>
          </w:p>
        </w:tc>
      </w:tr>
      <w:tr w:rsidR="00B85E37" w:rsidRPr="00810964">
        <w:tc>
          <w:tcPr>
            <w:tcW w:w="856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  <w:r w:rsidRPr="00810964">
              <w:rPr>
                <w:b/>
              </w:rPr>
              <w:lastRenderedPageBreak/>
              <w:t>Totali</w:t>
            </w:r>
          </w:p>
        </w:tc>
        <w:tc>
          <w:tcPr>
            <w:tcW w:w="1663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</w:p>
        </w:tc>
        <w:tc>
          <w:tcPr>
            <w:tcW w:w="1318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</w:p>
        </w:tc>
        <w:tc>
          <w:tcPr>
            <w:tcW w:w="1285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</w:p>
        </w:tc>
        <w:tc>
          <w:tcPr>
            <w:tcW w:w="1270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</w:p>
        </w:tc>
        <w:tc>
          <w:tcPr>
            <w:tcW w:w="1261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  <w:r w:rsidRPr="00810964">
              <w:rPr>
                <w:b/>
              </w:rPr>
              <w:t>510000</w:t>
            </w:r>
          </w:p>
        </w:tc>
        <w:tc>
          <w:tcPr>
            <w:tcW w:w="1634" w:type="dxa"/>
          </w:tcPr>
          <w:p w:rsidR="00B85E37" w:rsidRPr="00810964" w:rsidRDefault="00B85E37" w:rsidP="00B85E37">
            <w:pPr>
              <w:pStyle w:val="Tabele"/>
              <w:rPr>
                <w:b/>
              </w:rPr>
            </w:pPr>
          </w:p>
        </w:tc>
      </w:tr>
    </w:tbl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D2634E" w:rsidP="00B85E37">
      <w:pPr>
        <w:pStyle w:val="Figure"/>
      </w:pPr>
      <w:r w:rsidRPr="00750FF4">
        <w:rPr>
          <w:noProof/>
        </w:rPr>
        <w:drawing>
          <wp:inline distT="0" distB="0" distL="0" distR="0">
            <wp:extent cx="5753100" cy="6619875"/>
            <wp:effectExtent l="0" t="0" r="0" b="9525"/>
            <wp:docPr id="1" name="Picture 1" descr="har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D2634E" w:rsidP="00B85E37">
      <w:pPr>
        <w:pStyle w:val="Figure"/>
      </w:pPr>
      <w:r w:rsidRPr="00750FF4">
        <w:rPr>
          <w:noProof/>
        </w:rPr>
        <w:lastRenderedPageBreak/>
        <w:drawing>
          <wp:inline distT="0" distB="0" distL="0" distR="0">
            <wp:extent cx="5810250" cy="8048625"/>
            <wp:effectExtent l="0" t="0" r="0" b="9525"/>
            <wp:docPr id="2" name="Picture 2" descr="har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D2634E" w:rsidP="00B85E37">
      <w:pPr>
        <w:pStyle w:val="Figure"/>
      </w:pPr>
      <w:r w:rsidRPr="00750FF4">
        <w:rPr>
          <w:noProof/>
        </w:rPr>
        <w:lastRenderedPageBreak/>
        <w:drawing>
          <wp:inline distT="0" distB="0" distL="0" distR="0">
            <wp:extent cx="5524500" cy="7886700"/>
            <wp:effectExtent l="0" t="0" r="0" b="0"/>
            <wp:docPr id="3" name="Picture 3" descr="hart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ta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" t="1399" b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p w:rsidR="00B85E37" w:rsidRDefault="00B85E37" w:rsidP="00B85E37">
      <w:pPr>
        <w:pStyle w:val="Akti"/>
        <w:keepNext w:val="0"/>
        <w:rPr>
          <w:lang w:val="it-IT"/>
        </w:rPr>
      </w:pPr>
    </w:p>
    <w:sectPr w:rsidR="00B85E37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5E37"/>
    <w:rsid w:val="000178C2"/>
    <w:rsid w:val="00B85E37"/>
    <w:rsid w:val="00C84B66"/>
    <w:rsid w:val="00D2634E"/>
    <w:rsid w:val="00EE2502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BFB93C-4A8D-4E52-9EC4-3B1BA88F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E37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B85E3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B85E37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85E3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85E37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B85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