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5D3" w:rsidRPr="00857001" w:rsidRDefault="004A25D3" w:rsidP="004A25D3">
      <w:pPr>
        <w:pStyle w:val="Akti"/>
        <w:keepNext w:val="0"/>
      </w:pPr>
      <w:bookmarkStart w:id="0" w:name="_GoBack"/>
      <w:bookmarkEnd w:id="0"/>
      <w:r w:rsidRPr="00857001">
        <w:t>VENDIM</w:t>
      </w:r>
    </w:p>
    <w:p w:rsidR="004A25D3" w:rsidRPr="00857001" w:rsidRDefault="004A25D3" w:rsidP="004A25D3">
      <w:pPr>
        <w:pStyle w:val="NumriData"/>
        <w:keepNext w:val="0"/>
      </w:pPr>
      <w:r w:rsidRPr="00857001">
        <w:t>Nr.839, datë 5.12.2007</w:t>
      </w:r>
    </w:p>
    <w:p w:rsidR="004A25D3" w:rsidRPr="00857001" w:rsidRDefault="004A25D3" w:rsidP="004A25D3">
      <w:pPr>
        <w:pStyle w:val="Paragrafi"/>
        <w:rPr>
          <w:lang w:val="sq-AL"/>
        </w:rPr>
      </w:pPr>
      <w:r w:rsidRPr="00857001">
        <w:rPr>
          <w:lang w:val="sq-AL"/>
        </w:rPr>
        <w:t> </w:t>
      </w:r>
    </w:p>
    <w:p w:rsidR="004A25D3" w:rsidRPr="00857001" w:rsidRDefault="004A25D3" w:rsidP="004A25D3">
      <w:pPr>
        <w:pStyle w:val="Titulli"/>
        <w:keepNext w:val="0"/>
      </w:pPr>
      <w:r w:rsidRPr="00857001">
        <w:t>PËR PËRCAKTIMIN E KUSHTEVE DHE TË PROCEDURAVE PËR RIMBURSIMIN E AKCIZËS SË PAGUAR DHE KRIJIMIN E KUSHTEVE LEHTËSUESE, PËR NDËRTIMIN E BURIMEVE  TË PRODHIMIT TË ENERGJISË ELEKTRIKE, ME FUQI TË INSTALUAR JO MË PAK SE 5MW</w:t>
      </w:r>
    </w:p>
    <w:p w:rsidR="004A25D3" w:rsidRPr="00857001" w:rsidRDefault="004A25D3" w:rsidP="004A25D3">
      <w:pPr>
        <w:pStyle w:val="Paragrafi"/>
        <w:rPr>
          <w:lang w:val="sq-AL"/>
        </w:rPr>
      </w:pPr>
    </w:p>
    <w:p w:rsidR="004A25D3" w:rsidRPr="00857001" w:rsidRDefault="004A25D3" w:rsidP="007E0C64">
      <w:pPr>
        <w:pStyle w:val="BazLigjPropozues"/>
      </w:pPr>
      <w:r w:rsidRPr="00857001">
        <w:t>Në mbështetje të nenit 100 t</w:t>
      </w:r>
      <w:r>
        <w:t>ë Kushtetutës, të shkronjës “ç” të pikës 2 të nenit 19</w:t>
      </w:r>
      <w:r w:rsidRPr="00857001">
        <w:t xml:space="preserve"> të ligjit nr.8976, datë 12.12.2002 “Për akcizat”</w:t>
      </w:r>
      <w:r>
        <w:t>, të ndryshuar</w:t>
      </w:r>
      <w:r w:rsidRPr="00857001">
        <w:t xml:space="preserve"> dhe</w:t>
      </w:r>
      <w:r>
        <w:t xml:space="preserve"> të nenit 5</w:t>
      </w:r>
      <w:r w:rsidRPr="00857001">
        <w:t xml:space="preserve"> të ligjit nr.8987, datë 24.12.2002 “Për krijimin e kushteve lehtësuese për ndërtimin e burimeve të reja të prodhimit të energjisë elektrike”, me propozimin e Ministrit të Financave dhe Ministrit të Ekonomisë, Tregtisë dhe Ener</w:t>
      </w:r>
      <w:r>
        <w:t>gjetikës, Këshilli i Ministrave</w:t>
      </w:r>
    </w:p>
    <w:p w:rsidR="004A25D3" w:rsidRPr="00857001" w:rsidRDefault="004A25D3" w:rsidP="004A25D3">
      <w:pPr>
        <w:pStyle w:val="Paragrafi"/>
        <w:rPr>
          <w:lang w:val="sq-AL"/>
        </w:rPr>
      </w:pPr>
      <w:r w:rsidRPr="00857001">
        <w:rPr>
          <w:lang w:val="sq-AL"/>
        </w:rPr>
        <w:t> </w:t>
      </w:r>
    </w:p>
    <w:p w:rsidR="004A25D3" w:rsidRPr="0024501B" w:rsidRDefault="004A25D3" w:rsidP="004A25D3">
      <w:pPr>
        <w:pStyle w:val="VENDOSI"/>
        <w:keepNext w:val="0"/>
        <w:rPr>
          <w:lang w:val="sq-AL"/>
        </w:rPr>
      </w:pPr>
      <w:r w:rsidRPr="0024501B">
        <w:rPr>
          <w:lang w:val="sq-AL"/>
        </w:rPr>
        <w:t>VENDOSI:</w:t>
      </w:r>
    </w:p>
    <w:p w:rsidR="004A25D3" w:rsidRPr="00857001" w:rsidRDefault="004A25D3" w:rsidP="004A25D3">
      <w:pPr>
        <w:pStyle w:val="Paragrafi"/>
        <w:rPr>
          <w:lang w:val="sq-AL"/>
        </w:rPr>
      </w:pPr>
      <w:r w:rsidRPr="00857001">
        <w:rPr>
          <w:lang w:val="sq-AL"/>
        </w:rPr>
        <w:t> </w:t>
      </w:r>
    </w:p>
    <w:p w:rsidR="004A25D3" w:rsidRPr="00857001" w:rsidRDefault="004A25D3" w:rsidP="004A25D3">
      <w:pPr>
        <w:pStyle w:val="Paragrafi"/>
        <w:rPr>
          <w:lang w:val="sq-AL"/>
        </w:rPr>
      </w:pPr>
      <w:r w:rsidRPr="00857001">
        <w:rPr>
          <w:lang w:val="sq-AL"/>
        </w:rPr>
        <w:t> 1. Personi juridik, vendas ose i huaj, i cili ndërton burime të prodhimit të energjisë elektrike, me fuqi të instaluar jo më pak se 5MW për b</w:t>
      </w:r>
      <w:r>
        <w:rPr>
          <w:lang w:val="sq-AL"/>
        </w:rPr>
        <w:t>urim, që përdorin lëndë djegëse</w:t>
      </w:r>
      <w:r w:rsidRPr="00857001">
        <w:rPr>
          <w:lang w:val="sq-AL"/>
        </w:rPr>
        <w:t xml:space="preserve"> të lëngëta</w:t>
      </w:r>
      <w:r>
        <w:rPr>
          <w:lang w:val="sq-AL"/>
        </w:rPr>
        <w:t xml:space="preserve"> ose të ngurta</w:t>
      </w:r>
      <w:r w:rsidRPr="00857001">
        <w:rPr>
          <w:lang w:val="sq-AL"/>
        </w:rPr>
        <w:t xml:space="preserve"> dhe pa kufizim për burime të tjera të rinovueshme të prodhimit, pasi të ketë marrë nga organet shtetërore përkatëse lejen për ndërtimin e një objekti gjenerues, në përputhje me legjislacionin në fuqi, duhet të paraqesë pranë ministrisë përgjegjëse për sektorin e energjisë, 6 muaj para fillimit të importimit</w:t>
      </w:r>
      <w:r>
        <w:rPr>
          <w:lang w:val="sq-AL"/>
        </w:rPr>
        <w:t>, listën e plotë e të specifikuar</w:t>
      </w:r>
      <w:r w:rsidRPr="00857001">
        <w:rPr>
          <w:lang w:val="sq-AL"/>
        </w:rPr>
        <w:t xml:space="preserve"> të makinerive dhe të pajisjeve, që do të importohen vetëm për këtë objekt.</w:t>
      </w:r>
    </w:p>
    <w:p w:rsidR="004A25D3" w:rsidRPr="00857001" w:rsidRDefault="004A25D3" w:rsidP="004A25D3">
      <w:pPr>
        <w:pStyle w:val="Paragrafi"/>
        <w:rPr>
          <w:lang w:val="sq-AL"/>
        </w:rPr>
      </w:pPr>
      <w:r w:rsidRPr="00857001">
        <w:rPr>
          <w:lang w:val="sq-AL"/>
        </w:rPr>
        <w:t>Ministri përgjegjës për sektorin e energjisë e miraton këtë listë, pas shqyrtimit dhe verifikimit të saj.</w:t>
      </w:r>
    </w:p>
    <w:p w:rsidR="004A25D3" w:rsidRPr="00857001" w:rsidRDefault="004A25D3" w:rsidP="004A25D3">
      <w:pPr>
        <w:pStyle w:val="Paragrafi"/>
        <w:rPr>
          <w:lang w:val="sq-AL"/>
        </w:rPr>
      </w:pPr>
      <w:r w:rsidRPr="00857001">
        <w:rPr>
          <w:lang w:val="sq-AL"/>
        </w:rPr>
        <w:t xml:space="preserve">2. Lista e </w:t>
      </w:r>
      <w:r>
        <w:rPr>
          <w:lang w:val="sq-AL"/>
        </w:rPr>
        <w:t>përmendur në pikën 1</w:t>
      </w:r>
      <w:r w:rsidRPr="00857001">
        <w:rPr>
          <w:lang w:val="sq-AL"/>
        </w:rPr>
        <w:t xml:space="preserve"> të këtij vendimi, duhet të përmbajë, për çdo makineri dhe pajisje, që importohet, këto specifikime:</w:t>
      </w:r>
    </w:p>
    <w:p w:rsidR="004A25D3" w:rsidRPr="00857001" w:rsidRDefault="004A25D3" w:rsidP="004A25D3">
      <w:pPr>
        <w:pStyle w:val="Paragrafi"/>
        <w:rPr>
          <w:lang w:val="sq-AL"/>
        </w:rPr>
      </w:pPr>
      <w:r w:rsidRPr="00857001">
        <w:rPr>
          <w:lang w:val="sq-AL"/>
        </w:rPr>
        <w:t xml:space="preserve">a) </w:t>
      </w:r>
      <w:r>
        <w:rPr>
          <w:lang w:val="sq-AL"/>
        </w:rPr>
        <w:t>e</w:t>
      </w:r>
      <w:r w:rsidRPr="00857001">
        <w:rPr>
          <w:lang w:val="sq-AL"/>
        </w:rPr>
        <w:t xml:space="preserve">mërtimin dhe </w:t>
      </w:r>
      <w:r>
        <w:rPr>
          <w:lang w:val="sq-AL"/>
        </w:rPr>
        <w:t>shenjat e njësisë së makinerisë</w:t>
      </w:r>
      <w:r w:rsidRPr="00857001">
        <w:rPr>
          <w:lang w:val="sq-AL"/>
        </w:rPr>
        <w:t>/pajisjes;</w:t>
      </w:r>
    </w:p>
    <w:p w:rsidR="004A25D3" w:rsidRPr="00857001" w:rsidRDefault="004A25D3" w:rsidP="004A25D3">
      <w:pPr>
        <w:pStyle w:val="Paragrafi"/>
        <w:rPr>
          <w:lang w:val="sq-AL"/>
        </w:rPr>
      </w:pPr>
      <w:r w:rsidRPr="00857001">
        <w:rPr>
          <w:lang w:val="sq-AL"/>
        </w:rPr>
        <w:t xml:space="preserve">b) </w:t>
      </w:r>
      <w:r>
        <w:rPr>
          <w:lang w:val="sq-AL"/>
        </w:rPr>
        <w:t>k</w:t>
      </w:r>
      <w:r w:rsidRPr="00857001">
        <w:rPr>
          <w:lang w:val="sq-AL"/>
        </w:rPr>
        <w:t>arakteristikat kryesore teknike të makinerisë/pajisjes, sasinë dhe  çmimin e blerjes;</w:t>
      </w:r>
    </w:p>
    <w:p w:rsidR="004A25D3" w:rsidRPr="00857001" w:rsidRDefault="004A25D3" w:rsidP="004A25D3">
      <w:pPr>
        <w:pStyle w:val="Paragrafi"/>
        <w:rPr>
          <w:lang w:val="sq-AL"/>
        </w:rPr>
      </w:pPr>
      <w:r w:rsidRPr="00857001">
        <w:rPr>
          <w:lang w:val="sq-AL"/>
        </w:rPr>
        <w:t xml:space="preserve">c) </w:t>
      </w:r>
      <w:r>
        <w:rPr>
          <w:lang w:val="sq-AL"/>
        </w:rPr>
        <w:t>k</w:t>
      </w:r>
      <w:r w:rsidRPr="00857001">
        <w:rPr>
          <w:lang w:val="sq-AL"/>
        </w:rPr>
        <w:t>arakteristikat e lëndëve djegëse, që përdoren, duke specifikuar llojin dhe konsumin e shprehur për njësi;</w:t>
      </w:r>
    </w:p>
    <w:p w:rsidR="004A25D3" w:rsidRPr="00857001" w:rsidRDefault="004A25D3" w:rsidP="004A25D3">
      <w:pPr>
        <w:pStyle w:val="Paragrafi"/>
        <w:rPr>
          <w:lang w:val="sq-AL"/>
        </w:rPr>
      </w:pPr>
      <w:r w:rsidRPr="00857001">
        <w:rPr>
          <w:lang w:val="sq-AL"/>
        </w:rPr>
        <w:t>ç)</w:t>
      </w:r>
      <w:r>
        <w:rPr>
          <w:lang w:val="sq-AL"/>
        </w:rPr>
        <w:t xml:space="preserve"> s</w:t>
      </w:r>
      <w:r w:rsidRPr="00857001">
        <w:rPr>
          <w:lang w:val="sq-AL"/>
        </w:rPr>
        <w:t>pecifikime të tjera sqaruese (konsumi specifik i burimit etj.).</w:t>
      </w:r>
    </w:p>
    <w:p w:rsidR="004A25D3" w:rsidRPr="00857001" w:rsidRDefault="004A25D3" w:rsidP="004A25D3">
      <w:pPr>
        <w:pStyle w:val="Paragrafi"/>
        <w:rPr>
          <w:lang w:val="sq-AL"/>
        </w:rPr>
      </w:pPr>
      <w:r>
        <w:rPr>
          <w:lang w:val="sq-AL"/>
        </w:rPr>
        <w:t xml:space="preserve">3. </w:t>
      </w:r>
      <w:r w:rsidRPr="00857001">
        <w:rPr>
          <w:lang w:val="sq-AL"/>
        </w:rPr>
        <w:t>Lista e miratuar nga ministri përgjegjës për energjinë mbahet në pesë kopje, nga të cilat një kopje i dërgohet subjektit investitor të licencuar, një kopje Ministrisë së Financave, një kopje Drejtorisë së Përgjithshme të Doganave, një kopje Drejtorisë së Përgjithshme të Tatimeve dhe një kopje ruhet në ministrinë përgjegjëse për sektorin e energjisë.</w:t>
      </w:r>
    </w:p>
    <w:p w:rsidR="004A25D3" w:rsidRPr="00857001" w:rsidRDefault="004A25D3" w:rsidP="004A25D3">
      <w:pPr>
        <w:pStyle w:val="Paragrafi"/>
        <w:rPr>
          <w:lang w:val="sq-AL"/>
        </w:rPr>
      </w:pPr>
      <w:r>
        <w:rPr>
          <w:lang w:val="sq-AL"/>
        </w:rPr>
        <w:t xml:space="preserve">4. </w:t>
      </w:r>
      <w:r w:rsidRPr="00857001">
        <w:rPr>
          <w:lang w:val="sq-AL"/>
        </w:rPr>
        <w:t>Drejtoria e Përgjithshme e Doganave, pas paraqitjes së kërkesës nga subjekti investitor, zbaton të gjitha procedurat e parashikuara nga legjislacioni doganor për përjashtimin e makinerive dhe të pajisjeve, të përfshira në listën e miratuar nga ministri përgjegjës për energjinë, nga taksat doganore.</w:t>
      </w:r>
    </w:p>
    <w:p w:rsidR="004A25D3" w:rsidRPr="00857001" w:rsidRDefault="004A25D3" w:rsidP="004A25D3">
      <w:pPr>
        <w:pStyle w:val="Paragrafi"/>
        <w:rPr>
          <w:lang w:val="sq-AL"/>
        </w:rPr>
      </w:pPr>
      <w:r w:rsidRPr="00857001">
        <w:rPr>
          <w:lang w:val="sq-AL"/>
        </w:rPr>
        <w:t>5. Institucionet e përmendura në pikën 3, për çdo ndryshim në listën e specifikuar të makinerive dhe të pajisjeve që importohen, veprojnë në përputhje me dokumentet zyrtare, që kërkojnë ndryshimin, dhe për këtë japin miratimin përkatës. Në rast se në listën e miratuar më par</w:t>
      </w:r>
      <w:r>
        <w:rPr>
          <w:lang w:val="sq-AL"/>
        </w:rPr>
        <w:t>ë është përfshirë një makineri/</w:t>
      </w:r>
      <w:r w:rsidRPr="00857001">
        <w:rPr>
          <w:lang w:val="sq-AL"/>
        </w:rPr>
        <w:t>pajisje, që nuk i takon këtij objekti, veprimet doganore kryhen vetëm pasi të shlyhet dhe të dokumentohet pagesa e taksës doganore, që nuk i ishte paguar, në zbatim të këtij vendimi.</w:t>
      </w:r>
    </w:p>
    <w:p w:rsidR="004A25D3" w:rsidRDefault="004A25D3" w:rsidP="004A25D3">
      <w:pPr>
        <w:pStyle w:val="Paragrafi"/>
        <w:rPr>
          <w:lang w:val="sq-AL"/>
        </w:rPr>
      </w:pPr>
      <w:r w:rsidRPr="00857001">
        <w:rPr>
          <w:lang w:val="sq-AL"/>
        </w:rPr>
        <w:t> 6. Për lëndët djegëse të përdorura nga subjektet, të cilat ndërtojnë burime të prodhimit të energjisë elektrike, me fuqi të instaluar jo më pak se 5 MW për burim, për nevojat e veta apo për shitje, vlera e akcizës që do të rimbursohet, llogaritet sipas formulës së paraqitur në shtojcën 1, që i bashkëlidhet këtij vendimi.</w:t>
      </w:r>
    </w:p>
    <w:p w:rsidR="004A25D3" w:rsidRDefault="004A25D3" w:rsidP="004A25D3">
      <w:pPr>
        <w:pStyle w:val="Paragrafi"/>
        <w:rPr>
          <w:lang w:val="sq-AL"/>
        </w:rPr>
      </w:pPr>
    </w:p>
    <w:p w:rsidR="004A25D3" w:rsidRDefault="004A25D3" w:rsidP="004A25D3">
      <w:pPr>
        <w:pStyle w:val="Paragrafi"/>
        <w:rPr>
          <w:lang w:val="sq-AL"/>
        </w:rPr>
      </w:pPr>
    </w:p>
    <w:p w:rsidR="004A25D3" w:rsidRPr="00857001" w:rsidRDefault="004A25D3" w:rsidP="004A25D3">
      <w:pPr>
        <w:pStyle w:val="Paragrafi"/>
        <w:rPr>
          <w:lang w:val="sq-AL"/>
        </w:rPr>
      </w:pPr>
    </w:p>
    <w:p w:rsidR="004A25D3" w:rsidRPr="00857001" w:rsidRDefault="004A25D3" w:rsidP="004A25D3">
      <w:pPr>
        <w:pStyle w:val="Paragrafi"/>
        <w:rPr>
          <w:lang w:val="sq-AL"/>
        </w:rPr>
      </w:pPr>
      <w:r w:rsidRPr="00857001">
        <w:rPr>
          <w:lang w:val="sq-AL"/>
        </w:rPr>
        <w:t xml:space="preserve">7. Personi juridik, vendas ose i huaj, i cili ndërton burime të prodhimit të energjisë elektrike me fuqi të instaluar jo më pak se 5MW për burim, që përdorin lëndë djegëse të lëngëta ose të ngurta, dhe pa kufizim për burime të tjera të rinovueshme të prodhimit, për rimbursimin e akcizës së këtyre </w:t>
      </w:r>
      <w:r w:rsidRPr="00857001">
        <w:rPr>
          <w:lang w:val="sq-AL"/>
        </w:rPr>
        <w:lastRenderedPageBreak/>
        <w:t>lëndëve, duhet të paraqesë në Drejtorinë e Përgjithshme të Tatimeve:</w:t>
      </w:r>
    </w:p>
    <w:p w:rsidR="004A25D3" w:rsidRPr="00857001" w:rsidRDefault="004A25D3" w:rsidP="004A25D3">
      <w:pPr>
        <w:pStyle w:val="Paragrafi"/>
        <w:rPr>
          <w:lang w:val="sq-AL"/>
        </w:rPr>
      </w:pPr>
      <w:r w:rsidRPr="00857001">
        <w:rPr>
          <w:lang w:val="sq-AL"/>
        </w:rPr>
        <w:t>a)  Aplikimin për sasinë e lëndës djegëse, sipas tabelës nr.1, që i bashkëlidhet vendimit, e cila nevojitet për prodhimin e energjisë elektrike për një periudhë tremujore, përfshirë dhe shumën e akcizës, që do të rimbursohet.</w:t>
      </w:r>
    </w:p>
    <w:p w:rsidR="004A25D3" w:rsidRPr="00857001" w:rsidRDefault="004A25D3" w:rsidP="004A25D3">
      <w:pPr>
        <w:pStyle w:val="Paragrafi"/>
        <w:rPr>
          <w:lang w:val="sq-AL"/>
        </w:rPr>
      </w:pPr>
      <w:r w:rsidRPr="00857001">
        <w:rPr>
          <w:lang w:val="sq-AL"/>
        </w:rPr>
        <w:t>b) Akcizën e paguar për lëndët djegëse, të lëngëta ose të ngurta, të importuara nga subjekte të tjera ose vetë subjekti prodhues i burimeve të energjisë elektrike (vërtetim nga Drejtoria e Përgjithshme e Doganave për pagesën e akcizës).</w:t>
      </w:r>
    </w:p>
    <w:p w:rsidR="004A25D3" w:rsidRPr="00857001" w:rsidRDefault="004A25D3" w:rsidP="004A25D3">
      <w:pPr>
        <w:pStyle w:val="Paragrafi"/>
        <w:rPr>
          <w:lang w:val="sq-AL"/>
        </w:rPr>
      </w:pPr>
      <w:r w:rsidRPr="00857001">
        <w:rPr>
          <w:lang w:val="sq-AL"/>
        </w:rPr>
        <w:t xml:space="preserve"> 8. Energjia elektrike, e prodhuar nga burimet, sipas përcaktimit të pikës 1 të këtij vendimi, matet nëpërmjet matësit të energjisë elektrike për rastin e shitjes dhe nga matësi i gjeneratorit elektrik, kur ajo prodhohet, kryesisht, për nevojat e veta. </w:t>
      </w:r>
    </w:p>
    <w:p w:rsidR="004A25D3" w:rsidRPr="00857001" w:rsidRDefault="004A25D3" w:rsidP="004A25D3">
      <w:pPr>
        <w:pStyle w:val="Paragrafi"/>
        <w:rPr>
          <w:lang w:val="sq-AL"/>
        </w:rPr>
      </w:pPr>
      <w:r w:rsidRPr="00857001">
        <w:rPr>
          <w:lang w:val="sq-AL"/>
        </w:rPr>
        <w:t>9. Sasia e energjisë elektrike, të shitur apo të prodhuar, vlerësohet çdo muaj si diferencë e leximeve të matësit në fillim dhe në fund të muajt.</w:t>
      </w:r>
    </w:p>
    <w:p w:rsidR="004A25D3" w:rsidRPr="00857001" w:rsidRDefault="004A25D3" w:rsidP="004A25D3">
      <w:pPr>
        <w:pStyle w:val="Paragrafi"/>
        <w:rPr>
          <w:lang w:val="sq-AL"/>
        </w:rPr>
      </w:pPr>
      <w:r w:rsidRPr="00857001">
        <w:rPr>
          <w:lang w:val="sq-AL"/>
        </w:rPr>
        <w:t> Sasia e energjisë elektrike, që u shitet të tretëve, matet në kwh/muaj dhe deklarohet në faturën e përbashkët të mbajtur, ndërmjet shitësit dhe blerësit, ndërsa sasia e energjisë së prodhuar deklarohet nga prodhuesi, sipas vlerës së treguar në matësin e vendosur në dalje të gjeneratorit elektrik.</w:t>
      </w:r>
    </w:p>
    <w:p w:rsidR="004A25D3" w:rsidRPr="00857001" w:rsidRDefault="004A25D3" w:rsidP="004A25D3">
      <w:pPr>
        <w:pStyle w:val="Paragrafi"/>
        <w:rPr>
          <w:lang w:val="sq-AL"/>
        </w:rPr>
      </w:pPr>
      <w:r w:rsidRPr="00857001">
        <w:rPr>
          <w:lang w:val="sq-AL"/>
        </w:rPr>
        <w:t>10. Dega e tatimeve e rrethit përkatës, në bashkëpunim me strukturat e subjekteve shpërndarëse të energjisë elektrike, bëjnë plumbosjen e matësve të energjisë</w:t>
      </w:r>
      <w:r>
        <w:rPr>
          <w:lang w:val="sq-AL"/>
        </w:rPr>
        <w:t xml:space="preserve"> elektrike, duke mbajtur proces</w:t>
      </w:r>
      <w:r w:rsidRPr="00857001">
        <w:rPr>
          <w:lang w:val="sq-AL"/>
        </w:rPr>
        <w:t>verbal. Dega e tatimeve kontrollon, çdo muaj, sasinë e energjisë së prodhuar për shitje dhe për nevojat e veta. Subjekti prodhues i energjisë elektrike deklaron, çdo muaj, në degën e tatimeve energjinë e prodhuar kryesisht për nevojat e veta, në bazë të leximeve të matësit të gjeneratorëve elektrikë.</w:t>
      </w:r>
    </w:p>
    <w:p w:rsidR="004A25D3" w:rsidRPr="00857001" w:rsidRDefault="004A25D3" w:rsidP="004A25D3">
      <w:pPr>
        <w:pStyle w:val="Paragrafi"/>
        <w:rPr>
          <w:lang w:val="sq-AL"/>
        </w:rPr>
      </w:pPr>
      <w:r w:rsidRPr="00857001">
        <w:rPr>
          <w:lang w:val="sq-AL"/>
        </w:rPr>
        <w:t>11. Me konsum specifik të lëndës djegëse në burim nënkuptohet sasia e lëndës djegëse të përdorur për prodhimin e 1 KWH energji elektrike. Në këtë vlerë përfshihet edhe sasia e lëndës djegëse, që konsumohet për nevojat e centralit elektrik.</w:t>
      </w:r>
    </w:p>
    <w:p w:rsidR="004A25D3" w:rsidRPr="00857001" w:rsidRDefault="004A25D3" w:rsidP="004A25D3">
      <w:pPr>
        <w:pStyle w:val="Paragrafi"/>
        <w:rPr>
          <w:lang w:val="sq-AL"/>
        </w:rPr>
      </w:pPr>
      <w:r w:rsidRPr="00857001">
        <w:rPr>
          <w:lang w:val="sq-AL"/>
        </w:rPr>
        <w:t> 12. Rimbursimi i akcizës për lëndën djegëse të konsumuar, të llogaritur sipas formulës bëhet nga Drejtoria e Përgjithshme e Tatimeve, nga llogaria e veçantë buxhetore e krijuar nga kjo drejtori për këtë qëllim dhe jo më vonë se 45 ditë nga data e kërkesës së subjektit për rimbursim të akcizës.</w:t>
      </w:r>
    </w:p>
    <w:p w:rsidR="004A25D3" w:rsidRPr="00857001" w:rsidRDefault="004A25D3" w:rsidP="004A25D3">
      <w:pPr>
        <w:pStyle w:val="Paragrafi"/>
        <w:rPr>
          <w:lang w:val="sq-AL"/>
        </w:rPr>
      </w:pPr>
      <w:r w:rsidRPr="00857001">
        <w:rPr>
          <w:lang w:val="sq-AL"/>
        </w:rPr>
        <w:t> 13. Rimbursimi i kundërvleftës së taksës doganore, të llogaritur sipas formulës përkatëse në shtojcën 1, bëhet nga Drejtoria e Përgjithshme e Doganave e llogaritur nga llogaria e veçantë buxhetore  e krijuar nga kjo drejtori për këtë qëllim dhe jo më vonë se 45 ditë nga data e kryerjes së veprimeve në doganë.</w:t>
      </w:r>
    </w:p>
    <w:p w:rsidR="004A25D3" w:rsidRPr="00857001" w:rsidRDefault="004A25D3" w:rsidP="004A25D3">
      <w:pPr>
        <w:pStyle w:val="Paragrafi"/>
        <w:rPr>
          <w:lang w:val="sq-AL"/>
        </w:rPr>
      </w:pPr>
      <w:r w:rsidRPr="00857001">
        <w:rPr>
          <w:lang w:val="sq-AL"/>
        </w:rPr>
        <w:t xml:space="preserve">14. Ngarkohen </w:t>
      </w:r>
      <w:r>
        <w:rPr>
          <w:lang w:val="sq-AL"/>
        </w:rPr>
        <w:t>Ministri i Financave dhe M</w:t>
      </w:r>
      <w:r w:rsidRPr="00857001">
        <w:rPr>
          <w:lang w:val="sq-AL"/>
        </w:rPr>
        <w:t>inistri përgjegjës për energjinë të nxjerrin udhëzimet e nevojshme për zbatimin e këtij vendimi.</w:t>
      </w:r>
    </w:p>
    <w:p w:rsidR="004A25D3" w:rsidRPr="00857001" w:rsidRDefault="004A25D3" w:rsidP="004A25D3">
      <w:pPr>
        <w:pStyle w:val="Paragrafi"/>
        <w:rPr>
          <w:lang w:val="sq-AL"/>
        </w:rPr>
      </w:pPr>
      <w:r>
        <w:rPr>
          <w:lang w:val="sq-AL"/>
        </w:rPr>
        <w:t> 15. Ngarkohen Ministri i Financave dhe M</w:t>
      </w:r>
      <w:r w:rsidRPr="00857001">
        <w:rPr>
          <w:lang w:val="sq-AL"/>
        </w:rPr>
        <w:t>inistri përgjegjës për energjinë për zbatimin e këtij vendimi.</w:t>
      </w:r>
    </w:p>
    <w:p w:rsidR="004A25D3" w:rsidRPr="00857001" w:rsidRDefault="004A25D3" w:rsidP="004A25D3">
      <w:pPr>
        <w:pStyle w:val="Paragrafi"/>
        <w:rPr>
          <w:lang w:val="sq-AL"/>
        </w:rPr>
      </w:pPr>
      <w:r w:rsidRPr="00857001">
        <w:rPr>
          <w:lang w:val="sq-AL"/>
        </w:rPr>
        <w:t xml:space="preserve">16. Vendimi nr.560, datë 27.8.2004 </w:t>
      </w:r>
      <w:r>
        <w:rPr>
          <w:lang w:val="sq-AL"/>
        </w:rPr>
        <w:t xml:space="preserve">i Këshillit të Ministrave </w:t>
      </w:r>
      <w:r w:rsidRPr="00857001">
        <w:rPr>
          <w:lang w:val="sq-AL"/>
        </w:rPr>
        <w:t>“Për përcaktimin e disa kushteve lehtësuese për ndërtimin e burimeve të reja të prodhimit të energjisë elektrike”, shfuqizohet.</w:t>
      </w:r>
    </w:p>
    <w:p w:rsidR="004A25D3" w:rsidRPr="00857001" w:rsidRDefault="004A25D3" w:rsidP="004A25D3">
      <w:pPr>
        <w:pStyle w:val="Paragrafi"/>
        <w:rPr>
          <w:lang w:val="sq-AL"/>
        </w:rPr>
      </w:pPr>
      <w:r w:rsidRPr="00857001">
        <w:rPr>
          <w:lang w:val="sq-AL"/>
        </w:rPr>
        <w:t>Ky vendim hyn në fuqi pas botimit në Fletoren Zyrtare.</w:t>
      </w:r>
    </w:p>
    <w:p w:rsidR="004A25D3" w:rsidRPr="00857001" w:rsidRDefault="004A25D3" w:rsidP="004A25D3">
      <w:pPr>
        <w:pStyle w:val="Paragrafi"/>
        <w:rPr>
          <w:lang w:val="sq-AL"/>
        </w:rPr>
      </w:pPr>
      <w:r w:rsidRPr="00857001">
        <w:rPr>
          <w:lang w:val="sq-AL"/>
        </w:rPr>
        <w:t>       </w:t>
      </w:r>
    </w:p>
    <w:p w:rsidR="004A25D3" w:rsidRPr="004A25D3" w:rsidRDefault="004A25D3" w:rsidP="004A25D3">
      <w:pPr>
        <w:pStyle w:val="Autoriteti"/>
        <w:keepNext w:val="0"/>
        <w:rPr>
          <w:lang w:val="sq-AL"/>
        </w:rPr>
      </w:pPr>
      <w:r w:rsidRPr="004A25D3">
        <w:rPr>
          <w:lang w:val="sq-AL"/>
        </w:rPr>
        <w:t>KRYEMINISTRI</w:t>
      </w:r>
    </w:p>
    <w:p w:rsidR="004A25D3" w:rsidRPr="004A25D3" w:rsidRDefault="004A25D3" w:rsidP="004A25D3">
      <w:pPr>
        <w:pStyle w:val="AutoritetiEmer"/>
        <w:rPr>
          <w:lang w:val="sq-AL"/>
        </w:rPr>
      </w:pPr>
      <w:r w:rsidRPr="004A25D3">
        <w:rPr>
          <w:lang w:val="sq-AL"/>
        </w:rPr>
        <w:t>Sali Berisha</w:t>
      </w:r>
    </w:p>
    <w:p w:rsidR="004A25D3" w:rsidRPr="004A25D3" w:rsidRDefault="004A25D3" w:rsidP="004A25D3">
      <w:pPr>
        <w:pStyle w:val="Paragrafi"/>
        <w:rPr>
          <w:lang w:val="sq-AL"/>
        </w:rPr>
      </w:pPr>
    </w:p>
    <w:p w:rsidR="004A25D3" w:rsidRPr="004A25D3" w:rsidRDefault="004A25D3" w:rsidP="004A25D3">
      <w:pPr>
        <w:pStyle w:val="Paragrafi"/>
        <w:rPr>
          <w:b/>
          <w:lang w:val="sq-AL"/>
        </w:rPr>
      </w:pPr>
    </w:p>
    <w:p w:rsidR="004A25D3" w:rsidRPr="004A25D3" w:rsidRDefault="004A25D3" w:rsidP="004A25D3">
      <w:pPr>
        <w:pStyle w:val="Paragrafi"/>
        <w:rPr>
          <w:b/>
          <w:lang w:val="sq-AL"/>
        </w:rPr>
      </w:pPr>
    </w:p>
    <w:p w:rsidR="004A25D3" w:rsidRPr="004A25D3" w:rsidRDefault="004A25D3" w:rsidP="004A25D3">
      <w:pPr>
        <w:pStyle w:val="Paragrafi"/>
        <w:rPr>
          <w:b/>
          <w:lang w:val="sq-AL"/>
        </w:rPr>
      </w:pPr>
    </w:p>
    <w:p w:rsidR="004A25D3" w:rsidRPr="004A25D3" w:rsidRDefault="004A25D3" w:rsidP="004A25D3">
      <w:pPr>
        <w:pStyle w:val="Paragrafi"/>
        <w:rPr>
          <w:b/>
          <w:lang w:val="sq-AL"/>
        </w:rPr>
      </w:pPr>
    </w:p>
    <w:p w:rsidR="004A25D3" w:rsidRPr="004A25D3" w:rsidRDefault="004A25D3" w:rsidP="004A25D3">
      <w:pPr>
        <w:pStyle w:val="Paragrafi"/>
        <w:rPr>
          <w:b/>
          <w:lang w:val="sq-AL"/>
        </w:rPr>
      </w:pPr>
    </w:p>
    <w:p w:rsidR="004A25D3" w:rsidRPr="004A25D3" w:rsidRDefault="004A25D3" w:rsidP="004A25D3">
      <w:pPr>
        <w:pStyle w:val="Paragrafi"/>
        <w:rPr>
          <w:lang w:val="sq-AL"/>
        </w:rPr>
      </w:pPr>
      <w:r w:rsidRPr="004A25D3">
        <w:rPr>
          <w:lang w:val="sq-AL"/>
        </w:rPr>
        <w:t xml:space="preserve">Shtojca 1: Formula e llogaritjes së vlerës që do të rimbursohet </w:t>
      </w:r>
    </w:p>
    <w:p w:rsidR="004A25D3" w:rsidRPr="004B2FE3" w:rsidRDefault="004A25D3" w:rsidP="004A25D3">
      <w:pPr>
        <w:pStyle w:val="Paragrafi"/>
      </w:pPr>
      <w:r w:rsidRPr="004B2FE3">
        <w:t>1. Kur akciza shprehet me kuotë fikse</w:t>
      </w:r>
    </w:p>
    <w:p w:rsidR="004A25D3" w:rsidRPr="004B2FE3" w:rsidRDefault="004A25D3" w:rsidP="004A25D3">
      <w:pPr>
        <w:pStyle w:val="Paragrafi"/>
      </w:pPr>
      <w:r w:rsidRPr="004B2FE3">
        <w:t>VrA= Psh/p* Nt* A</w:t>
      </w:r>
    </w:p>
    <w:p w:rsidR="004A25D3" w:rsidRPr="004B2FE3" w:rsidRDefault="004A25D3" w:rsidP="004A25D3">
      <w:pPr>
        <w:pStyle w:val="Paragrafi"/>
      </w:pPr>
      <w:r w:rsidRPr="004B2FE3">
        <w:t>2. Kur akciza shprehet në përqindje</w:t>
      </w:r>
    </w:p>
    <w:p w:rsidR="004A25D3" w:rsidRPr="004B2FE3" w:rsidRDefault="004A25D3" w:rsidP="004A25D3">
      <w:pPr>
        <w:pStyle w:val="Paragrafi"/>
      </w:pPr>
      <w:r w:rsidRPr="004B2FE3">
        <w:t>VrA%= Psh/p* Nt* (Vld* A%)</w:t>
      </w:r>
    </w:p>
    <w:p w:rsidR="004A25D3" w:rsidRPr="004B2FE3" w:rsidRDefault="004A25D3" w:rsidP="004A25D3">
      <w:pPr>
        <w:pStyle w:val="Paragrafi"/>
      </w:pPr>
      <w:r w:rsidRPr="004B2FE3">
        <w:t>3. Kur taksa doganore shprehet në përqindje</w:t>
      </w:r>
    </w:p>
    <w:p w:rsidR="004A25D3" w:rsidRPr="004B2FE3" w:rsidRDefault="004A25D3" w:rsidP="004A25D3">
      <w:pPr>
        <w:pStyle w:val="Paragrafi"/>
      </w:pPr>
      <w:r w:rsidRPr="004B2FE3">
        <w:t>VrD= (Psh* Nt* Td)/ Sasinë totale (sipas DAV-it përkatës)</w:t>
      </w:r>
    </w:p>
    <w:p w:rsidR="004A25D3" w:rsidRPr="004B2FE3" w:rsidRDefault="004A25D3" w:rsidP="004A25D3">
      <w:pPr>
        <w:pStyle w:val="Paragrafi"/>
      </w:pPr>
      <w:r w:rsidRPr="004B2FE3">
        <w:t>ku:</w:t>
      </w:r>
    </w:p>
    <w:p w:rsidR="004A25D3" w:rsidRPr="00657D60" w:rsidRDefault="004A25D3" w:rsidP="004A25D3">
      <w:pPr>
        <w:pStyle w:val="Paragrafi"/>
      </w:pPr>
      <w:r w:rsidRPr="00657D60">
        <w:lastRenderedPageBreak/>
        <w:t>VrA</w:t>
      </w:r>
      <w:r>
        <w:t xml:space="preserve"> </w:t>
      </w:r>
      <w:r w:rsidRPr="00657D60">
        <w:t>- Vlera e rimbursimit të akcizës së lëndës djegëse për energjinë elektrike të shitur apo prodhuar, kur akciza është e shprehur në kuotë fikse, (lekë/muaj).</w:t>
      </w:r>
    </w:p>
    <w:p w:rsidR="004A25D3" w:rsidRPr="00657D60" w:rsidRDefault="004A25D3" w:rsidP="004A25D3">
      <w:pPr>
        <w:pStyle w:val="Paragrafi"/>
      </w:pPr>
      <w:r w:rsidRPr="00657D60">
        <w:t>VrA%</w:t>
      </w:r>
      <w:r>
        <w:t xml:space="preserve"> </w:t>
      </w:r>
      <w:r w:rsidRPr="00657D60">
        <w:t>- Vlera e rimbursimit të akcizës së lëndës djegëse për energjinë elektrike të shitur apo prodhuar, kur akciza është e shprehur në përqindje, (lekë/muaj).</w:t>
      </w:r>
    </w:p>
    <w:p w:rsidR="004A25D3" w:rsidRPr="00657D60" w:rsidRDefault="004A25D3" w:rsidP="004A25D3">
      <w:pPr>
        <w:pStyle w:val="Paragrafi"/>
      </w:pPr>
      <w:r w:rsidRPr="00657D60">
        <w:t>Psh/p</w:t>
      </w:r>
      <w:r>
        <w:t xml:space="preserve"> - E</w:t>
      </w:r>
      <w:r w:rsidRPr="00657D60">
        <w:t>nergjia elektrike e shitur apo prodhuar, sipas këtij vendimi.</w:t>
      </w:r>
    </w:p>
    <w:p w:rsidR="004A25D3" w:rsidRPr="00657D60" w:rsidRDefault="004A25D3" w:rsidP="004A25D3">
      <w:pPr>
        <w:pStyle w:val="Paragrafi"/>
      </w:pPr>
      <w:r w:rsidRPr="00657D60">
        <w:t>Nt</w:t>
      </w:r>
      <w:r>
        <w:t xml:space="preserve"> </w:t>
      </w:r>
      <w:r w:rsidRPr="00657D60">
        <w:t>-</w:t>
      </w:r>
      <w:r>
        <w:t xml:space="preserve"> </w:t>
      </w:r>
      <w:r w:rsidRPr="00657D60">
        <w:t>Konsumi specifik i lëndës djegëse për prodhimin e energjisë elektrike (kg/kWh për lëndët djegëse të lëngëta e të ngurta; m</w:t>
      </w:r>
      <w:r w:rsidRPr="002C6BCE">
        <w:rPr>
          <w:vertAlign w:val="superscript"/>
        </w:rPr>
        <w:t>3</w:t>
      </w:r>
      <w:r w:rsidRPr="00657D60">
        <w:t xml:space="preserve"> N/k</w:t>
      </w:r>
      <w:r>
        <w:t>W</w:t>
      </w:r>
      <w:r w:rsidRPr="00657D60">
        <w:t>h për lëndët djegëse të gazta).</w:t>
      </w:r>
    </w:p>
    <w:p w:rsidR="004A25D3" w:rsidRPr="00657D60" w:rsidRDefault="004A25D3" w:rsidP="004A25D3">
      <w:pPr>
        <w:pStyle w:val="Paragrafi"/>
      </w:pPr>
      <w:r w:rsidRPr="00657D60">
        <w:t>A</w:t>
      </w:r>
      <w:r>
        <w:t xml:space="preserve"> </w:t>
      </w:r>
      <w:r w:rsidRPr="00657D60">
        <w:t>-</w:t>
      </w:r>
      <w:r>
        <w:t xml:space="preserve"> </w:t>
      </w:r>
      <w:r w:rsidRPr="00657D60">
        <w:t>Akciza kur shprehet me kuotë fikse, sipas llojit të lëndës djegëse dhe e përcaktuar në ligjin nr.8976, datë 12.12.2002 “Për akc</w:t>
      </w:r>
      <w:r>
        <w:t>izat në Republikën e Shqipërisë”, i ndryshuar</w:t>
      </w:r>
      <w:r w:rsidRPr="00657D60">
        <w:t>, (lekë/kg).</w:t>
      </w:r>
    </w:p>
    <w:p w:rsidR="004A25D3" w:rsidRPr="00657D60" w:rsidRDefault="004A25D3" w:rsidP="004A25D3">
      <w:pPr>
        <w:pStyle w:val="Paragrafi"/>
      </w:pPr>
      <w:r w:rsidRPr="00657D60">
        <w:t>A%</w:t>
      </w:r>
      <w:r>
        <w:t xml:space="preserve"> </w:t>
      </w:r>
      <w:r w:rsidRPr="00657D60">
        <w:t>-</w:t>
      </w:r>
      <w:r>
        <w:t xml:space="preserve"> </w:t>
      </w:r>
      <w:r w:rsidRPr="00657D60">
        <w:t>Akciza kur shprehet në përqindje, sipas llojit të lëndës djegëse dhe e përcaktuar në ligjin nr.8976, datë 12.12.2002 “Për akcizat në Republikën e Shqipërisë, i ndrys</w:t>
      </w:r>
      <w:r>
        <w:t>huar”</w:t>
      </w:r>
      <w:r w:rsidRPr="00657D60">
        <w:t>.</w:t>
      </w:r>
    </w:p>
    <w:p w:rsidR="004A25D3" w:rsidRPr="00657D60" w:rsidRDefault="004A25D3" w:rsidP="004A25D3">
      <w:pPr>
        <w:pStyle w:val="Paragrafi"/>
      </w:pPr>
      <w:r w:rsidRPr="00657D60">
        <w:t>Vld</w:t>
      </w:r>
      <w:r>
        <w:t xml:space="preserve"> </w:t>
      </w:r>
      <w:r w:rsidRPr="00657D60">
        <w:t>-</w:t>
      </w:r>
      <w:r>
        <w:t xml:space="preserve"> </w:t>
      </w:r>
      <w:r w:rsidRPr="00657D60">
        <w:t>Vlera doganore e mallit, lëndës djegëse, siç përcaktohet në Kodin Doganor dhe të shënuar në deklaratën doganore përkatëse.</w:t>
      </w:r>
    </w:p>
    <w:p w:rsidR="004A25D3" w:rsidRPr="00657D60" w:rsidRDefault="004A25D3" w:rsidP="004A25D3">
      <w:pPr>
        <w:pStyle w:val="Paragrafi"/>
      </w:pPr>
      <w:r w:rsidRPr="00657D60">
        <w:t>VrD</w:t>
      </w:r>
      <w:r>
        <w:t xml:space="preserve"> </w:t>
      </w:r>
      <w:r w:rsidRPr="00657D60">
        <w:t>-</w:t>
      </w:r>
      <w:r>
        <w:t xml:space="preserve"> </w:t>
      </w:r>
      <w:r w:rsidRPr="00657D60">
        <w:t>Vlera e rimbursimit të kundërvleftës doganore të paguar për sasinë e lëndës djegëse për energjinë elektrike të shitur (lekë/muaj)</w:t>
      </w:r>
      <w:r>
        <w:t>.</w:t>
      </w:r>
    </w:p>
    <w:p w:rsidR="004A25D3" w:rsidRPr="00657D60" w:rsidRDefault="004A25D3" w:rsidP="004A25D3">
      <w:pPr>
        <w:pStyle w:val="Paragrafi"/>
      </w:pPr>
      <w:r w:rsidRPr="00657D60">
        <w:t>Psh</w:t>
      </w:r>
      <w:r>
        <w:t xml:space="preserve"> </w:t>
      </w:r>
      <w:r w:rsidRPr="00657D60">
        <w:t>-</w:t>
      </w:r>
      <w:r>
        <w:t xml:space="preserve"> </w:t>
      </w:r>
      <w:r w:rsidRPr="00657D60">
        <w:t>Energjia elektrike e shitur sipas këtij vendimi</w:t>
      </w:r>
      <w:r>
        <w:t>.</w:t>
      </w:r>
    </w:p>
    <w:p w:rsidR="004A25D3" w:rsidRPr="00657D60" w:rsidRDefault="004A25D3" w:rsidP="004A25D3">
      <w:pPr>
        <w:pStyle w:val="Paragrafi"/>
      </w:pPr>
      <w:r w:rsidRPr="00657D60">
        <w:t>Td</w:t>
      </w:r>
      <w:r>
        <w:t xml:space="preserve"> </w:t>
      </w:r>
      <w:r w:rsidRPr="00657D60">
        <w:t>-</w:t>
      </w:r>
      <w:r>
        <w:t xml:space="preserve"> </w:t>
      </w:r>
      <w:r w:rsidRPr="00657D60">
        <w:t>Taksa doganore sipas DAV-it përkatës</w:t>
      </w:r>
      <w:r>
        <w:t>.</w:t>
      </w:r>
    </w:p>
    <w:p w:rsidR="004A25D3" w:rsidRPr="00657D60" w:rsidRDefault="004A25D3" w:rsidP="004A25D3">
      <w:pPr>
        <w:pStyle w:val="Paragrafi"/>
      </w:pPr>
      <w:r w:rsidRPr="00657D60">
        <w:t>Normatika elektrike (Nt= Konsumi specifik) për teknologji dhe lëndë djegëse të ndryshme, që si rregull i jepen në dokumentacionin teknik, për çdo rast konkret llogaritet duke përdorur formulën:</w:t>
      </w:r>
    </w:p>
    <w:p w:rsidR="004A25D3" w:rsidRPr="00657D60" w:rsidRDefault="004A25D3" w:rsidP="004A25D3">
      <w:pPr>
        <w:pStyle w:val="Paragrafi"/>
      </w:pPr>
      <w:r w:rsidRPr="00657D60">
        <w:t>Nt= 360 000/ (</w:t>
      </w:r>
      <w:r>
        <w:rPr>
          <w:rFonts w:ascii="Times New Roman" w:hAnsi="Times New Roman"/>
          <w:lang w:val="en-GB" w:eastAsia="zh-CN"/>
        </w:rPr>
        <w:t xml:space="preserve">η </w:t>
      </w:r>
      <w:r w:rsidRPr="00657D60">
        <w:t>* Q)</w:t>
      </w:r>
    </w:p>
    <w:p w:rsidR="004A25D3" w:rsidRPr="00657D60" w:rsidRDefault="004A25D3" w:rsidP="004A25D3">
      <w:pPr>
        <w:pStyle w:val="Paragrafi"/>
      </w:pPr>
      <w:r w:rsidRPr="00657D60">
        <w:t>Ku</w:t>
      </w:r>
      <w:r>
        <w:t>:</w:t>
      </w:r>
    </w:p>
    <w:p w:rsidR="004A25D3" w:rsidRPr="00657D60" w:rsidRDefault="004A25D3" w:rsidP="004A25D3">
      <w:pPr>
        <w:pStyle w:val="Paragrafi"/>
      </w:pPr>
      <w:r>
        <w:rPr>
          <w:rFonts w:ascii="Times New Roman" w:hAnsi="Times New Roman"/>
          <w:lang w:val="en-GB" w:eastAsia="zh-CN"/>
        </w:rPr>
        <w:t>η</w:t>
      </w:r>
      <w:r>
        <w:t xml:space="preserve"> </w:t>
      </w:r>
      <w:r w:rsidRPr="00657D60">
        <w:t>- rendimenti i përdorimit teknik të impiantit gjenerues (sipas katalogut) (%)</w:t>
      </w:r>
      <w:r>
        <w:t>.</w:t>
      </w:r>
    </w:p>
    <w:p w:rsidR="004A25D3" w:rsidRPr="00657D60" w:rsidRDefault="004A25D3" w:rsidP="004A25D3">
      <w:pPr>
        <w:pStyle w:val="Paragrafi"/>
      </w:pPr>
      <w:r w:rsidRPr="00657D60">
        <w:t>Q- nxehtësia e djegies (fuqia kalorifike) e lëndës djegëse (kj/Nm</w:t>
      </w:r>
      <w:r w:rsidRPr="00275CB0">
        <w:rPr>
          <w:vertAlign w:val="superscript"/>
        </w:rPr>
        <w:t>3</w:t>
      </w:r>
      <w:r w:rsidRPr="00657D60">
        <w:t>; kj/kg)</w:t>
      </w:r>
      <w:r>
        <w:t>.</w:t>
      </w:r>
    </w:p>
    <w:p w:rsidR="004A25D3" w:rsidRPr="00657D60" w:rsidRDefault="004A25D3" w:rsidP="004A25D3">
      <w:pPr>
        <w:pStyle w:val="Paragrafi"/>
      </w:pPr>
      <w:r w:rsidRPr="00657D60">
        <w:t>Tabela e mëposhtme është zbatimi praktik i formulës dhe mund të merret si referim për disa nga lëndët djegëse më të përdorshme.</w:t>
      </w:r>
    </w:p>
    <w:p w:rsidR="004A25D3" w:rsidRPr="00657D60" w:rsidRDefault="004A25D3" w:rsidP="004A25D3">
      <w:pPr>
        <w:pStyle w:val="Paragrafi"/>
      </w:pPr>
      <w:r w:rsidRPr="00657D60">
        <w:t>Tabela 1: Vlerat e pranuara si normativa teknike (Nt) për konsum specifik të lëndëve djegëse kryesore, që përdoren në objektet e gjenerimit të energjisë elektrike</w:t>
      </w:r>
    </w:p>
    <w:p w:rsidR="004A25D3" w:rsidRPr="00657D60" w:rsidRDefault="004A25D3" w:rsidP="004A25D3">
      <w:pPr>
        <w:pStyle w:val="Paragrafi"/>
      </w:pPr>
    </w:p>
    <w:tbl>
      <w:tblPr>
        <w:tblW w:w="9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2"/>
        <w:gridCol w:w="1469"/>
        <w:gridCol w:w="1316"/>
        <w:gridCol w:w="1856"/>
        <w:gridCol w:w="1440"/>
        <w:gridCol w:w="1574"/>
      </w:tblGrid>
      <w:tr w:rsidR="004A25D3" w:rsidRPr="00FC0DF1">
        <w:tc>
          <w:tcPr>
            <w:tcW w:w="2232" w:type="dxa"/>
          </w:tcPr>
          <w:p w:rsidR="004A25D3" w:rsidRPr="00FC0DF1" w:rsidRDefault="004A25D3" w:rsidP="004A25D3">
            <w:pPr>
              <w:pStyle w:val="Tabele"/>
              <w:rPr>
                <w:sz w:val="20"/>
              </w:rPr>
            </w:pPr>
            <w:r w:rsidRPr="00FC0DF1">
              <w:rPr>
                <w:caps/>
                <w:sz w:val="20"/>
              </w:rPr>
              <w:t>Lënda djegëse/tipi marka</w:t>
            </w:r>
          </w:p>
        </w:tc>
        <w:tc>
          <w:tcPr>
            <w:tcW w:w="1469" w:type="dxa"/>
          </w:tcPr>
          <w:p w:rsidR="004A25D3" w:rsidRPr="00FC0DF1" w:rsidRDefault="004A25D3" w:rsidP="004A25D3">
            <w:pPr>
              <w:pStyle w:val="Tabele"/>
              <w:rPr>
                <w:sz w:val="20"/>
              </w:rPr>
            </w:pPr>
            <w:r w:rsidRPr="00FC0DF1">
              <w:rPr>
                <w:caps/>
                <w:sz w:val="20"/>
              </w:rPr>
              <w:t>Nxehtësia e djegies q</w:t>
            </w:r>
          </w:p>
        </w:tc>
        <w:tc>
          <w:tcPr>
            <w:tcW w:w="1316" w:type="dxa"/>
          </w:tcPr>
          <w:p w:rsidR="004A25D3" w:rsidRPr="00FC0DF1" w:rsidRDefault="004A25D3" w:rsidP="004A25D3">
            <w:pPr>
              <w:pStyle w:val="Tabele"/>
              <w:rPr>
                <w:sz w:val="20"/>
              </w:rPr>
            </w:pPr>
            <w:r w:rsidRPr="00FC0DF1">
              <w:rPr>
                <w:caps/>
                <w:sz w:val="20"/>
              </w:rPr>
              <w:t>Motor diezel</w:t>
            </w:r>
          </w:p>
          <w:p w:rsidR="004A25D3" w:rsidRPr="00FC0DF1" w:rsidRDefault="004A25D3" w:rsidP="004A25D3">
            <w:pPr>
              <w:pStyle w:val="Tabele"/>
              <w:rPr>
                <w:sz w:val="20"/>
              </w:rPr>
            </w:pPr>
            <w:r w:rsidRPr="00FC0DF1">
              <w:rPr>
                <w:caps/>
                <w:sz w:val="20"/>
              </w:rPr>
              <w:t>(dm)</w:t>
            </w:r>
          </w:p>
        </w:tc>
        <w:tc>
          <w:tcPr>
            <w:tcW w:w="1856" w:type="dxa"/>
          </w:tcPr>
          <w:p w:rsidR="004A25D3" w:rsidRPr="00FC0DF1" w:rsidRDefault="004A25D3" w:rsidP="004A25D3">
            <w:pPr>
              <w:pStyle w:val="Tabele"/>
              <w:rPr>
                <w:sz w:val="20"/>
              </w:rPr>
            </w:pPr>
            <w:r w:rsidRPr="00FC0DF1">
              <w:rPr>
                <w:caps/>
                <w:sz w:val="20"/>
              </w:rPr>
              <w:t>Turbinë gazi (gt)</w:t>
            </w:r>
          </w:p>
        </w:tc>
        <w:tc>
          <w:tcPr>
            <w:tcW w:w="1440" w:type="dxa"/>
          </w:tcPr>
          <w:p w:rsidR="004A25D3" w:rsidRPr="00FC0DF1" w:rsidRDefault="004A25D3" w:rsidP="004A25D3">
            <w:pPr>
              <w:pStyle w:val="Tabele"/>
              <w:rPr>
                <w:sz w:val="20"/>
              </w:rPr>
            </w:pPr>
            <w:r w:rsidRPr="00FC0DF1">
              <w:rPr>
                <w:caps/>
                <w:sz w:val="20"/>
              </w:rPr>
              <w:t>Turbinë avulli (st)</w:t>
            </w:r>
          </w:p>
        </w:tc>
        <w:tc>
          <w:tcPr>
            <w:tcW w:w="1574" w:type="dxa"/>
          </w:tcPr>
          <w:p w:rsidR="004A25D3" w:rsidRPr="00FC0DF1" w:rsidRDefault="004A25D3" w:rsidP="004A25D3">
            <w:pPr>
              <w:pStyle w:val="Tabele"/>
              <w:rPr>
                <w:sz w:val="20"/>
              </w:rPr>
            </w:pPr>
            <w:r w:rsidRPr="00FC0DF1">
              <w:rPr>
                <w:caps/>
                <w:sz w:val="20"/>
              </w:rPr>
              <w:t>Cikël i kombinuar</w:t>
            </w:r>
          </w:p>
          <w:p w:rsidR="004A25D3" w:rsidRPr="00FC0DF1" w:rsidRDefault="004A25D3" w:rsidP="004A25D3">
            <w:pPr>
              <w:pStyle w:val="Tabele"/>
              <w:rPr>
                <w:sz w:val="20"/>
              </w:rPr>
            </w:pPr>
            <w:r w:rsidRPr="00FC0DF1">
              <w:rPr>
                <w:caps/>
                <w:sz w:val="20"/>
              </w:rPr>
              <w:t>(ccgt)</w:t>
            </w:r>
          </w:p>
        </w:tc>
      </w:tr>
      <w:tr w:rsidR="004A25D3" w:rsidRPr="00FC0DF1">
        <w:tc>
          <w:tcPr>
            <w:tcW w:w="2232" w:type="dxa"/>
          </w:tcPr>
          <w:p w:rsidR="004A25D3" w:rsidRPr="00FC0DF1" w:rsidRDefault="004A25D3" w:rsidP="004A25D3">
            <w:pPr>
              <w:pStyle w:val="Tabele"/>
              <w:rPr>
                <w:sz w:val="20"/>
              </w:rPr>
            </w:pPr>
            <w:r w:rsidRPr="00FC0DF1">
              <w:rPr>
                <w:caps/>
                <w:sz w:val="20"/>
              </w:rPr>
              <w:t>Gaz natyror</w:t>
            </w:r>
          </w:p>
          <w:p w:rsidR="004A25D3" w:rsidRPr="00FC0DF1" w:rsidRDefault="004A25D3" w:rsidP="004A25D3">
            <w:pPr>
              <w:pStyle w:val="Tabele"/>
              <w:rPr>
                <w:sz w:val="20"/>
              </w:rPr>
            </w:pPr>
            <w:r w:rsidRPr="00FC0DF1">
              <w:rPr>
                <w:caps/>
                <w:sz w:val="20"/>
              </w:rPr>
              <w:t>Natyral gas</w:t>
            </w:r>
          </w:p>
        </w:tc>
        <w:tc>
          <w:tcPr>
            <w:tcW w:w="1469" w:type="dxa"/>
          </w:tcPr>
          <w:p w:rsidR="004A25D3" w:rsidRPr="00FC0DF1" w:rsidRDefault="004A25D3" w:rsidP="004A25D3">
            <w:pPr>
              <w:pStyle w:val="Tabele"/>
              <w:rPr>
                <w:sz w:val="20"/>
              </w:rPr>
            </w:pPr>
            <w:r w:rsidRPr="00FC0DF1">
              <w:rPr>
                <w:caps/>
                <w:sz w:val="20"/>
              </w:rPr>
              <w:t>40186</w:t>
            </w:r>
          </w:p>
          <w:p w:rsidR="004A25D3" w:rsidRPr="00FC0DF1" w:rsidRDefault="004A25D3" w:rsidP="004A25D3">
            <w:pPr>
              <w:pStyle w:val="Tabele"/>
              <w:rPr>
                <w:sz w:val="20"/>
              </w:rPr>
            </w:pPr>
            <w:r w:rsidRPr="00FC0DF1">
              <w:rPr>
                <w:caps/>
                <w:sz w:val="20"/>
              </w:rPr>
              <w:t>Kj/</w:t>
            </w:r>
            <w:r>
              <w:rPr>
                <w:caps/>
                <w:sz w:val="20"/>
              </w:rPr>
              <w:t>m</w:t>
            </w:r>
            <w:r w:rsidRPr="004B1E52">
              <w:rPr>
                <w:caps/>
                <w:sz w:val="20"/>
                <w:vertAlign w:val="superscript"/>
              </w:rPr>
              <w:t>3</w:t>
            </w:r>
            <w:r w:rsidRPr="00FC0DF1">
              <w:rPr>
                <w:caps/>
                <w:sz w:val="20"/>
              </w:rPr>
              <w:t>n</w:t>
            </w:r>
          </w:p>
        </w:tc>
        <w:tc>
          <w:tcPr>
            <w:tcW w:w="1316" w:type="dxa"/>
          </w:tcPr>
          <w:p w:rsidR="004A25D3" w:rsidRPr="00FC0DF1" w:rsidRDefault="004A25D3" w:rsidP="004A25D3">
            <w:pPr>
              <w:pStyle w:val="Tabele"/>
              <w:rPr>
                <w:sz w:val="20"/>
              </w:rPr>
            </w:pPr>
            <w:r w:rsidRPr="00FC0DF1">
              <w:rPr>
                <w:caps/>
                <w:sz w:val="20"/>
              </w:rPr>
              <w:t>0.215</w:t>
            </w:r>
            <w:r>
              <w:rPr>
                <w:caps/>
                <w:sz w:val="20"/>
              </w:rPr>
              <w:t xml:space="preserve"> m</w:t>
            </w:r>
            <w:r w:rsidRPr="004B1E52">
              <w:rPr>
                <w:caps/>
                <w:sz w:val="20"/>
                <w:vertAlign w:val="superscript"/>
              </w:rPr>
              <w:t>3</w:t>
            </w:r>
          </w:p>
          <w:p w:rsidR="004A25D3" w:rsidRPr="00FC0DF1" w:rsidRDefault="004A25D3" w:rsidP="004A25D3">
            <w:pPr>
              <w:pStyle w:val="Tabele"/>
              <w:rPr>
                <w:sz w:val="20"/>
              </w:rPr>
            </w:pPr>
            <w:r w:rsidRPr="00FC0DF1">
              <w:rPr>
                <w:caps/>
                <w:sz w:val="20"/>
              </w:rPr>
              <w:t>N.kwh</w:t>
            </w:r>
          </w:p>
        </w:tc>
        <w:tc>
          <w:tcPr>
            <w:tcW w:w="1856" w:type="dxa"/>
          </w:tcPr>
          <w:p w:rsidR="004A25D3" w:rsidRPr="00FC0DF1" w:rsidRDefault="004A25D3" w:rsidP="004A25D3">
            <w:pPr>
              <w:pStyle w:val="Tabele"/>
              <w:rPr>
                <w:sz w:val="20"/>
              </w:rPr>
            </w:pPr>
            <w:r w:rsidRPr="00FC0DF1">
              <w:rPr>
                <w:caps/>
                <w:sz w:val="20"/>
              </w:rPr>
              <w:t>0.307</w:t>
            </w:r>
          </w:p>
          <w:p w:rsidR="004A25D3" w:rsidRPr="00FC0DF1" w:rsidRDefault="004A25D3" w:rsidP="004A25D3">
            <w:pPr>
              <w:pStyle w:val="Tabele"/>
              <w:rPr>
                <w:sz w:val="20"/>
              </w:rPr>
            </w:pPr>
            <w:r>
              <w:rPr>
                <w:caps/>
                <w:sz w:val="20"/>
              </w:rPr>
              <w:t>m</w:t>
            </w:r>
            <w:r w:rsidRPr="00FC0DF1">
              <w:rPr>
                <w:caps/>
                <w:sz w:val="20"/>
                <w:vertAlign w:val="superscript"/>
              </w:rPr>
              <w:t>3</w:t>
            </w:r>
            <w:r w:rsidRPr="00FC0DF1">
              <w:rPr>
                <w:caps/>
                <w:sz w:val="20"/>
              </w:rPr>
              <w:t>n/kwh</w:t>
            </w:r>
          </w:p>
        </w:tc>
        <w:tc>
          <w:tcPr>
            <w:tcW w:w="1440" w:type="dxa"/>
          </w:tcPr>
          <w:p w:rsidR="004A25D3" w:rsidRPr="00FC0DF1" w:rsidRDefault="004A25D3" w:rsidP="004A25D3">
            <w:pPr>
              <w:pStyle w:val="Tabele"/>
              <w:rPr>
                <w:sz w:val="20"/>
              </w:rPr>
            </w:pPr>
            <w:r w:rsidRPr="00FC0DF1">
              <w:rPr>
                <w:caps/>
                <w:sz w:val="20"/>
              </w:rPr>
              <w:t>0.246</w:t>
            </w:r>
          </w:p>
          <w:p w:rsidR="004A25D3" w:rsidRPr="00FC0DF1" w:rsidRDefault="004A25D3" w:rsidP="004A25D3">
            <w:pPr>
              <w:pStyle w:val="Tabele"/>
              <w:rPr>
                <w:sz w:val="20"/>
              </w:rPr>
            </w:pPr>
            <w:r>
              <w:rPr>
                <w:caps/>
                <w:sz w:val="20"/>
              </w:rPr>
              <w:t>m</w:t>
            </w:r>
            <w:r w:rsidRPr="004B1E52">
              <w:rPr>
                <w:caps/>
                <w:sz w:val="20"/>
                <w:vertAlign w:val="superscript"/>
              </w:rPr>
              <w:t>3</w:t>
            </w:r>
            <w:r w:rsidRPr="004B1E52">
              <w:rPr>
                <w:caps/>
                <w:sz w:val="20"/>
              </w:rPr>
              <w:t>n</w:t>
            </w:r>
            <w:r w:rsidRPr="00FC0DF1">
              <w:rPr>
                <w:caps/>
                <w:sz w:val="20"/>
              </w:rPr>
              <w:t>/kwh</w:t>
            </w:r>
          </w:p>
        </w:tc>
        <w:tc>
          <w:tcPr>
            <w:tcW w:w="1574" w:type="dxa"/>
          </w:tcPr>
          <w:p w:rsidR="004A25D3" w:rsidRPr="00FC0DF1" w:rsidRDefault="004A25D3" w:rsidP="004A25D3">
            <w:pPr>
              <w:pStyle w:val="Tabele"/>
              <w:rPr>
                <w:sz w:val="20"/>
              </w:rPr>
            </w:pPr>
            <w:r w:rsidRPr="00FC0DF1">
              <w:rPr>
                <w:caps/>
                <w:sz w:val="20"/>
              </w:rPr>
              <w:t xml:space="preserve">0.165 </w:t>
            </w:r>
            <w:r>
              <w:rPr>
                <w:caps/>
                <w:sz w:val="20"/>
              </w:rPr>
              <w:t>m</w:t>
            </w:r>
            <w:r w:rsidRPr="004B1E52">
              <w:rPr>
                <w:caps/>
                <w:sz w:val="20"/>
                <w:vertAlign w:val="superscript"/>
              </w:rPr>
              <w:t>3</w:t>
            </w:r>
          </w:p>
          <w:p w:rsidR="004A25D3" w:rsidRPr="00FC0DF1" w:rsidRDefault="004A25D3" w:rsidP="004A25D3">
            <w:pPr>
              <w:pStyle w:val="Tabele"/>
              <w:rPr>
                <w:sz w:val="20"/>
              </w:rPr>
            </w:pPr>
            <w:r w:rsidRPr="00FC0DF1">
              <w:rPr>
                <w:caps/>
                <w:sz w:val="20"/>
              </w:rPr>
              <w:t>N/kwh</w:t>
            </w:r>
          </w:p>
        </w:tc>
      </w:tr>
      <w:tr w:rsidR="004A25D3" w:rsidRPr="00FC0DF1">
        <w:tc>
          <w:tcPr>
            <w:tcW w:w="2232" w:type="dxa"/>
          </w:tcPr>
          <w:p w:rsidR="004A25D3" w:rsidRPr="00FC0DF1" w:rsidRDefault="004A25D3" w:rsidP="004A25D3">
            <w:pPr>
              <w:pStyle w:val="Tabele"/>
              <w:rPr>
                <w:sz w:val="20"/>
              </w:rPr>
            </w:pPr>
            <w:r w:rsidRPr="00FC0DF1">
              <w:rPr>
                <w:caps/>
                <w:sz w:val="20"/>
              </w:rPr>
              <w:t>Gas oil</w:t>
            </w:r>
          </w:p>
          <w:p w:rsidR="004A25D3" w:rsidRPr="00FC0DF1" w:rsidRDefault="004A25D3" w:rsidP="004A25D3">
            <w:pPr>
              <w:pStyle w:val="Tabele"/>
              <w:rPr>
                <w:sz w:val="20"/>
              </w:rPr>
            </w:pPr>
            <w:r w:rsidRPr="00FC0DF1">
              <w:rPr>
                <w:caps/>
                <w:sz w:val="20"/>
              </w:rPr>
              <w:t>Distilat oil</w:t>
            </w:r>
          </w:p>
        </w:tc>
        <w:tc>
          <w:tcPr>
            <w:tcW w:w="1469" w:type="dxa"/>
          </w:tcPr>
          <w:p w:rsidR="004A25D3" w:rsidRPr="00FC0DF1" w:rsidRDefault="004A25D3" w:rsidP="004A25D3">
            <w:pPr>
              <w:pStyle w:val="Tabele"/>
              <w:rPr>
                <w:sz w:val="20"/>
              </w:rPr>
            </w:pPr>
            <w:r w:rsidRPr="00FC0DF1">
              <w:rPr>
                <w:caps/>
                <w:sz w:val="20"/>
              </w:rPr>
              <w:t>41860</w:t>
            </w:r>
          </w:p>
          <w:p w:rsidR="004A25D3" w:rsidRPr="00FC0DF1" w:rsidRDefault="004A25D3" w:rsidP="004A25D3">
            <w:pPr>
              <w:pStyle w:val="Tabele"/>
              <w:rPr>
                <w:sz w:val="20"/>
              </w:rPr>
            </w:pPr>
            <w:r w:rsidRPr="00FC0DF1">
              <w:rPr>
                <w:caps/>
                <w:sz w:val="20"/>
              </w:rPr>
              <w:t>Kj/kg</w:t>
            </w:r>
          </w:p>
        </w:tc>
        <w:tc>
          <w:tcPr>
            <w:tcW w:w="1316" w:type="dxa"/>
          </w:tcPr>
          <w:p w:rsidR="004A25D3" w:rsidRPr="00FC0DF1" w:rsidRDefault="004A25D3" w:rsidP="004A25D3">
            <w:pPr>
              <w:pStyle w:val="Tabele"/>
              <w:rPr>
                <w:sz w:val="20"/>
              </w:rPr>
            </w:pPr>
            <w:r w:rsidRPr="00FC0DF1">
              <w:rPr>
                <w:caps/>
                <w:sz w:val="20"/>
              </w:rPr>
              <w:t>0.205</w:t>
            </w:r>
          </w:p>
          <w:p w:rsidR="004A25D3" w:rsidRPr="00FC0DF1" w:rsidRDefault="004A25D3" w:rsidP="004A25D3">
            <w:pPr>
              <w:pStyle w:val="Tabele"/>
              <w:rPr>
                <w:sz w:val="20"/>
              </w:rPr>
            </w:pPr>
            <w:r w:rsidRPr="00FC0DF1">
              <w:rPr>
                <w:caps/>
                <w:sz w:val="20"/>
              </w:rPr>
              <w:t>Kg/kwh</w:t>
            </w:r>
          </w:p>
        </w:tc>
        <w:tc>
          <w:tcPr>
            <w:tcW w:w="1856" w:type="dxa"/>
          </w:tcPr>
          <w:p w:rsidR="004A25D3" w:rsidRPr="00FC0DF1" w:rsidRDefault="004A25D3" w:rsidP="004A25D3">
            <w:pPr>
              <w:pStyle w:val="Tabele"/>
              <w:rPr>
                <w:sz w:val="20"/>
              </w:rPr>
            </w:pPr>
            <w:r w:rsidRPr="00FC0DF1">
              <w:rPr>
                <w:caps/>
                <w:sz w:val="20"/>
              </w:rPr>
              <w:t>0.307</w:t>
            </w:r>
          </w:p>
          <w:p w:rsidR="004A25D3" w:rsidRPr="00FC0DF1" w:rsidRDefault="004A25D3" w:rsidP="004A25D3">
            <w:pPr>
              <w:pStyle w:val="Tabele"/>
              <w:rPr>
                <w:sz w:val="20"/>
              </w:rPr>
            </w:pPr>
            <w:r w:rsidRPr="00FC0DF1">
              <w:rPr>
                <w:caps/>
                <w:sz w:val="20"/>
              </w:rPr>
              <w:t>Kg/kwh</w:t>
            </w:r>
          </w:p>
        </w:tc>
        <w:tc>
          <w:tcPr>
            <w:tcW w:w="1440" w:type="dxa"/>
          </w:tcPr>
          <w:p w:rsidR="004A25D3" w:rsidRPr="00FC0DF1" w:rsidRDefault="004A25D3" w:rsidP="004A25D3">
            <w:pPr>
              <w:pStyle w:val="Tabele"/>
              <w:rPr>
                <w:sz w:val="20"/>
              </w:rPr>
            </w:pPr>
            <w:r w:rsidRPr="00FC0DF1">
              <w:rPr>
                <w:caps/>
                <w:sz w:val="20"/>
              </w:rPr>
              <w:t>0.253</w:t>
            </w:r>
          </w:p>
          <w:p w:rsidR="004A25D3" w:rsidRPr="00FC0DF1" w:rsidRDefault="004A25D3" w:rsidP="004A25D3">
            <w:pPr>
              <w:pStyle w:val="Tabele"/>
              <w:rPr>
                <w:sz w:val="20"/>
              </w:rPr>
            </w:pPr>
            <w:r w:rsidRPr="00FC0DF1">
              <w:rPr>
                <w:caps/>
                <w:sz w:val="20"/>
              </w:rPr>
              <w:t>Kg/kwh</w:t>
            </w:r>
          </w:p>
        </w:tc>
        <w:tc>
          <w:tcPr>
            <w:tcW w:w="1574" w:type="dxa"/>
          </w:tcPr>
          <w:p w:rsidR="004A25D3" w:rsidRPr="00FC0DF1" w:rsidRDefault="004A25D3" w:rsidP="004A25D3">
            <w:pPr>
              <w:pStyle w:val="Tabele"/>
              <w:rPr>
                <w:sz w:val="20"/>
              </w:rPr>
            </w:pPr>
            <w:r w:rsidRPr="00FC0DF1">
              <w:rPr>
                <w:caps/>
                <w:sz w:val="20"/>
              </w:rPr>
              <w:t>0.179</w:t>
            </w:r>
          </w:p>
          <w:p w:rsidR="004A25D3" w:rsidRPr="00FC0DF1" w:rsidRDefault="004A25D3" w:rsidP="004A25D3">
            <w:pPr>
              <w:pStyle w:val="Tabele"/>
              <w:rPr>
                <w:sz w:val="20"/>
              </w:rPr>
            </w:pPr>
            <w:r w:rsidRPr="00FC0DF1">
              <w:rPr>
                <w:caps/>
                <w:sz w:val="20"/>
              </w:rPr>
              <w:t>Kg/kwh</w:t>
            </w:r>
          </w:p>
        </w:tc>
      </w:tr>
      <w:tr w:rsidR="004A25D3" w:rsidRPr="00FC0DF1">
        <w:tc>
          <w:tcPr>
            <w:tcW w:w="2232" w:type="dxa"/>
          </w:tcPr>
          <w:p w:rsidR="004A25D3" w:rsidRPr="00FC0DF1" w:rsidRDefault="004A25D3" w:rsidP="004A25D3">
            <w:pPr>
              <w:pStyle w:val="Tabele"/>
              <w:rPr>
                <w:sz w:val="20"/>
              </w:rPr>
            </w:pPr>
            <w:r w:rsidRPr="00FC0DF1">
              <w:rPr>
                <w:caps/>
                <w:sz w:val="20"/>
              </w:rPr>
              <w:t>Solar</w:t>
            </w:r>
          </w:p>
          <w:p w:rsidR="004A25D3" w:rsidRPr="00FC0DF1" w:rsidRDefault="004A25D3" w:rsidP="004A25D3">
            <w:pPr>
              <w:pStyle w:val="Tabele"/>
              <w:rPr>
                <w:sz w:val="20"/>
              </w:rPr>
            </w:pPr>
            <w:r w:rsidRPr="00FC0DF1">
              <w:rPr>
                <w:caps/>
                <w:sz w:val="20"/>
              </w:rPr>
              <w:t>Fuel oil</w:t>
            </w:r>
          </w:p>
        </w:tc>
        <w:tc>
          <w:tcPr>
            <w:tcW w:w="1469" w:type="dxa"/>
          </w:tcPr>
          <w:p w:rsidR="004A25D3" w:rsidRPr="00FC0DF1" w:rsidRDefault="004A25D3" w:rsidP="004A25D3">
            <w:pPr>
              <w:pStyle w:val="Tabele"/>
              <w:rPr>
                <w:sz w:val="20"/>
              </w:rPr>
            </w:pPr>
            <w:r w:rsidRPr="00FC0DF1">
              <w:rPr>
                <w:caps/>
                <w:sz w:val="20"/>
              </w:rPr>
              <w:t>41000</w:t>
            </w:r>
          </w:p>
          <w:p w:rsidR="004A25D3" w:rsidRPr="00FC0DF1" w:rsidRDefault="004A25D3" w:rsidP="004A25D3">
            <w:pPr>
              <w:pStyle w:val="Tabele"/>
              <w:rPr>
                <w:sz w:val="20"/>
              </w:rPr>
            </w:pPr>
            <w:r w:rsidRPr="00FC0DF1">
              <w:rPr>
                <w:caps/>
                <w:sz w:val="20"/>
              </w:rPr>
              <w:t>Kj/kg</w:t>
            </w:r>
          </w:p>
        </w:tc>
        <w:tc>
          <w:tcPr>
            <w:tcW w:w="1316" w:type="dxa"/>
          </w:tcPr>
          <w:p w:rsidR="004A25D3" w:rsidRPr="00FC0DF1" w:rsidRDefault="004A25D3" w:rsidP="004A25D3">
            <w:pPr>
              <w:pStyle w:val="Tabele"/>
              <w:rPr>
                <w:sz w:val="20"/>
              </w:rPr>
            </w:pPr>
            <w:r w:rsidRPr="00FC0DF1">
              <w:rPr>
                <w:caps/>
                <w:sz w:val="20"/>
              </w:rPr>
              <w:t>0.214</w:t>
            </w:r>
          </w:p>
          <w:p w:rsidR="004A25D3" w:rsidRPr="00FC0DF1" w:rsidRDefault="004A25D3" w:rsidP="004A25D3">
            <w:pPr>
              <w:pStyle w:val="Tabele"/>
              <w:rPr>
                <w:sz w:val="20"/>
              </w:rPr>
            </w:pPr>
            <w:r w:rsidRPr="00FC0DF1">
              <w:rPr>
                <w:caps/>
                <w:sz w:val="20"/>
              </w:rPr>
              <w:t>Kg/kwh</w:t>
            </w:r>
          </w:p>
        </w:tc>
        <w:tc>
          <w:tcPr>
            <w:tcW w:w="1856" w:type="dxa"/>
          </w:tcPr>
          <w:p w:rsidR="004A25D3" w:rsidRPr="00FC0DF1" w:rsidRDefault="004A25D3" w:rsidP="004A25D3">
            <w:pPr>
              <w:pStyle w:val="Tabele"/>
              <w:rPr>
                <w:sz w:val="20"/>
              </w:rPr>
            </w:pPr>
            <w:r w:rsidRPr="00FC0DF1">
              <w:rPr>
                <w:caps/>
                <w:sz w:val="20"/>
              </w:rPr>
              <w:t>0.325</w:t>
            </w:r>
          </w:p>
          <w:p w:rsidR="004A25D3" w:rsidRPr="00FC0DF1" w:rsidRDefault="004A25D3" w:rsidP="004A25D3">
            <w:pPr>
              <w:pStyle w:val="Tabele"/>
              <w:rPr>
                <w:sz w:val="20"/>
              </w:rPr>
            </w:pPr>
            <w:r w:rsidRPr="00FC0DF1">
              <w:rPr>
                <w:caps/>
                <w:sz w:val="20"/>
              </w:rPr>
              <w:t>Kg/kwh</w:t>
            </w:r>
          </w:p>
        </w:tc>
        <w:tc>
          <w:tcPr>
            <w:tcW w:w="1440" w:type="dxa"/>
          </w:tcPr>
          <w:p w:rsidR="004A25D3" w:rsidRPr="00FC0DF1" w:rsidRDefault="004A25D3" w:rsidP="004A25D3">
            <w:pPr>
              <w:pStyle w:val="Tabele"/>
              <w:rPr>
                <w:sz w:val="20"/>
              </w:rPr>
            </w:pPr>
            <w:r w:rsidRPr="00FC0DF1">
              <w:rPr>
                <w:caps/>
                <w:sz w:val="20"/>
              </w:rPr>
              <w:t>0.266</w:t>
            </w:r>
          </w:p>
          <w:p w:rsidR="004A25D3" w:rsidRPr="00FC0DF1" w:rsidRDefault="004A25D3" w:rsidP="004A25D3">
            <w:pPr>
              <w:pStyle w:val="Tabele"/>
              <w:rPr>
                <w:sz w:val="20"/>
              </w:rPr>
            </w:pPr>
            <w:r w:rsidRPr="00FC0DF1">
              <w:rPr>
                <w:caps/>
                <w:sz w:val="20"/>
              </w:rPr>
              <w:t>Kg/kwh</w:t>
            </w:r>
          </w:p>
        </w:tc>
        <w:tc>
          <w:tcPr>
            <w:tcW w:w="1574" w:type="dxa"/>
          </w:tcPr>
          <w:p w:rsidR="004A25D3" w:rsidRPr="00FC0DF1" w:rsidRDefault="004A25D3" w:rsidP="004A25D3">
            <w:pPr>
              <w:pStyle w:val="Tabele"/>
              <w:rPr>
                <w:sz w:val="20"/>
              </w:rPr>
            </w:pPr>
            <w:r w:rsidRPr="00FC0DF1">
              <w:rPr>
                <w:caps/>
                <w:sz w:val="20"/>
              </w:rPr>
              <w:t>0.187</w:t>
            </w:r>
          </w:p>
          <w:p w:rsidR="004A25D3" w:rsidRPr="00FC0DF1" w:rsidRDefault="004A25D3" w:rsidP="004A25D3">
            <w:pPr>
              <w:pStyle w:val="Tabele"/>
              <w:rPr>
                <w:sz w:val="20"/>
              </w:rPr>
            </w:pPr>
            <w:r w:rsidRPr="00FC0DF1">
              <w:rPr>
                <w:caps/>
                <w:sz w:val="20"/>
              </w:rPr>
              <w:t>Kg/kwh</w:t>
            </w:r>
          </w:p>
        </w:tc>
      </w:tr>
      <w:tr w:rsidR="004A25D3" w:rsidRPr="00FC0DF1">
        <w:tc>
          <w:tcPr>
            <w:tcW w:w="2232" w:type="dxa"/>
          </w:tcPr>
          <w:p w:rsidR="004A25D3" w:rsidRPr="00FC0DF1" w:rsidRDefault="004A25D3" w:rsidP="004A25D3">
            <w:pPr>
              <w:pStyle w:val="Tabele"/>
              <w:rPr>
                <w:sz w:val="20"/>
              </w:rPr>
            </w:pPr>
            <w:r w:rsidRPr="00FC0DF1">
              <w:rPr>
                <w:caps/>
                <w:sz w:val="20"/>
              </w:rPr>
              <w:t>Mazut</w:t>
            </w:r>
          </w:p>
          <w:p w:rsidR="004A25D3" w:rsidRPr="00FC0DF1" w:rsidRDefault="004A25D3" w:rsidP="004A25D3">
            <w:pPr>
              <w:pStyle w:val="Tabele"/>
              <w:rPr>
                <w:sz w:val="20"/>
              </w:rPr>
            </w:pPr>
            <w:r w:rsidRPr="00FC0DF1">
              <w:rPr>
                <w:caps/>
                <w:sz w:val="20"/>
              </w:rPr>
              <w:t>Heavyfuel oil</w:t>
            </w:r>
          </w:p>
        </w:tc>
        <w:tc>
          <w:tcPr>
            <w:tcW w:w="1469" w:type="dxa"/>
          </w:tcPr>
          <w:p w:rsidR="004A25D3" w:rsidRPr="00FC0DF1" w:rsidRDefault="004A25D3" w:rsidP="004A25D3">
            <w:pPr>
              <w:pStyle w:val="Tabele"/>
              <w:rPr>
                <w:sz w:val="20"/>
              </w:rPr>
            </w:pPr>
            <w:r w:rsidRPr="00FC0DF1">
              <w:rPr>
                <w:caps/>
                <w:sz w:val="20"/>
              </w:rPr>
              <w:t>40000</w:t>
            </w:r>
          </w:p>
          <w:p w:rsidR="004A25D3" w:rsidRPr="00FC0DF1" w:rsidRDefault="004A25D3" w:rsidP="004A25D3">
            <w:pPr>
              <w:pStyle w:val="Tabele"/>
              <w:rPr>
                <w:sz w:val="20"/>
              </w:rPr>
            </w:pPr>
            <w:r w:rsidRPr="00FC0DF1">
              <w:rPr>
                <w:caps/>
                <w:sz w:val="20"/>
              </w:rPr>
              <w:t>Kj/kg</w:t>
            </w:r>
          </w:p>
        </w:tc>
        <w:tc>
          <w:tcPr>
            <w:tcW w:w="1316" w:type="dxa"/>
          </w:tcPr>
          <w:p w:rsidR="004A25D3" w:rsidRPr="00FC0DF1" w:rsidRDefault="004A25D3" w:rsidP="004A25D3">
            <w:pPr>
              <w:pStyle w:val="Tabele"/>
              <w:rPr>
                <w:sz w:val="20"/>
              </w:rPr>
            </w:pPr>
            <w:r w:rsidRPr="00FC0DF1">
              <w:rPr>
                <w:caps/>
                <w:sz w:val="20"/>
              </w:rPr>
              <w:t>0.225</w:t>
            </w:r>
          </w:p>
          <w:p w:rsidR="004A25D3" w:rsidRPr="00FC0DF1" w:rsidRDefault="004A25D3" w:rsidP="004A25D3">
            <w:pPr>
              <w:pStyle w:val="Tabele"/>
              <w:rPr>
                <w:sz w:val="20"/>
              </w:rPr>
            </w:pPr>
            <w:r w:rsidRPr="00FC0DF1">
              <w:rPr>
                <w:caps/>
                <w:sz w:val="20"/>
              </w:rPr>
              <w:t>Kg/kwh</w:t>
            </w:r>
          </w:p>
        </w:tc>
        <w:tc>
          <w:tcPr>
            <w:tcW w:w="1856" w:type="dxa"/>
          </w:tcPr>
          <w:p w:rsidR="004A25D3" w:rsidRPr="00FC0DF1" w:rsidRDefault="004A25D3" w:rsidP="004A25D3">
            <w:pPr>
              <w:pStyle w:val="Tabele"/>
              <w:rPr>
                <w:sz w:val="20"/>
              </w:rPr>
            </w:pPr>
            <w:r w:rsidRPr="00FC0DF1">
              <w:rPr>
                <w:caps/>
                <w:sz w:val="20"/>
              </w:rPr>
              <w:t>Nuk rekomandohet</w:t>
            </w:r>
          </w:p>
        </w:tc>
        <w:tc>
          <w:tcPr>
            <w:tcW w:w="1440" w:type="dxa"/>
          </w:tcPr>
          <w:p w:rsidR="004A25D3" w:rsidRPr="00FC0DF1" w:rsidRDefault="004A25D3" w:rsidP="004A25D3">
            <w:pPr>
              <w:pStyle w:val="Tabele"/>
              <w:rPr>
                <w:sz w:val="20"/>
              </w:rPr>
            </w:pPr>
            <w:r w:rsidRPr="00FC0DF1">
              <w:rPr>
                <w:caps/>
                <w:sz w:val="20"/>
              </w:rPr>
              <w:t>0.273</w:t>
            </w:r>
          </w:p>
          <w:p w:rsidR="004A25D3" w:rsidRPr="00FC0DF1" w:rsidRDefault="004A25D3" w:rsidP="004A25D3">
            <w:pPr>
              <w:pStyle w:val="Tabele"/>
              <w:rPr>
                <w:sz w:val="20"/>
              </w:rPr>
            </w:pPr>
            <w:r w:rsidRPr="00FC0DF1">
              <w:rPr>
                <w:caps/>
                <w:sz w:val="20"/>
              </w:rPr>
              <w:t>Kg/kwh</w:t>
            </w:r>
          </w:p>
        </w:tc>
        <w:tc>
          <w:tcPr>
            <w:tcW w:w="1574" w:type="dxa"/>
          </w:tcPr>
          <w:p w:rsidR="004A25D3" w:rsidRPr="00FC0DF1" w:rsidRDefault="004A25D3" w:rsidP="004A25D3">
            <w:pPr>
              <w:pStyle w:val="Tabele"/>
              <w:rPr>
                <w:sz w:val="20"/>
              </w:rPr>
            </w:pPr>
            <w:r w:rsidRPr="00FC0DF1">
              <w:rPr>
                <w:caps/>
                <w:sz w:val="20"/>
              </w:rPr>
              <w:t>Nuk rekomandohet</w:t>
            </w:r>
          </w:p>
          <w:p w:rsidR="004A25D3" w:rsidRPr="00FC0DF1" w:rsidRDefault="004A25D3" w:rsidP="004A25D3">
            <w:pPr>
              <w:pStyle w:val="Tabele"/>
              <w:rPr>
                <w:sz w:val="20"/>
              </w:rPr>
            </w:pPr>
            <w:r>
              <w:rPr>
                <w:caps/>
                <w:sz w:val="20"/>
              </w:rPr>
              <w:t>t</w:t>
            </w:r>
            <w:r w:rsidRPr="00FC0DF1">
              <w:rPr>
                <w:caps/>
                <w:sz w:val="20"/>
              </w:rPr>
              <w:t>ë përdoret</w:t>
            </w:r>
          </w:p>
        </w:tc>
      </w:tr>
      <w:tr w:rsidR="004A25D3" w:rsidRPr="00FC0DF1">
        <w:tc>
          <w:tcPr>
            <w:tcW w:w="2232" w:type="dxa"/>
          </w:tcPr>
          <w:p w:rsidR="004A25D3" w:rsidRPr="00FC0DF1" w:rsidRDefault="004A25D3" w:rsidP="004A25D3">
            <w:pPr>
              <w:pStyle w:val="Tabele"/>
              <w:rPr>
                <w:sz w:val="20"/>
              </w:rPr>
            </w:pPr>
            <w:r w:rsidRPr="00FC0DF1">
              <w:rPr>
                <w:caps/>
                <w:sz w:val="20"/>
              </w:rPr>
              <w:t>Qymyr guri</w:t>
            </w:r>
          </w:p>
          <w:p w:rsidR="004A25D3" w:rsidRPr="00FC0DF1" w:rsidRDefault="004A25D3" w:rsidP="004A25D3">
            <w:pPr>
              <w:pStyle w:val="Tabele"/>
              <w:rPr>
                <w:sz w:val="20"/>
              </w:rPr>
            </w:pPr>
            <w:r w:rsidRPr="00FC0DF1">
              <w:rPr>
                <w:caps/>
                <w:sz w:val="20"/>
              </w:rPr>
              <w:t>Hard coal</w:t>
            </w:r>
          </w:p>
        </w:tc>
        <w:tc>
          <w:tcPr>
            <w:tcW w:w="1469" w:type="dxa"/>
          </w:tcPr>
          <w:p w:rsidR="004A25D3" w:rsidRPr="00FC0DF1" w:rsidRDefault="004A25D3" w:rsidP="004A25D3">
            <w:pPr>
              <w:pStyle w:val="Tabele"/>
              <w:rPr>
                <w:sz w:val="20"/>
              </w:rPr>
            </w:pPr>
            <w:r w:rsidRPr="00FC0DF1">
              <w:rPr>
                <w:caps/>
                <w:sz w:val="20"/>
              </w:rPr>
              <w:t>29300</w:t>
            </w:r>
          </w:p>
          <w:p w:rsidR="004A25D3" w:rsidRPr="00FC0DF1" w:rsidRDefault="004A25D3" w:rsidP="004A25D3">
            <w:pPr>
              <w:pStyle w:val="Tabele"/>
              <w:rPr>
                <w:sz w:val="20"/>
              </w:rPr>
            </w:pPr>
            <w:r w:rsidRPr="00FC0DF1">
              <w:rPr>
                <w:caps/>
                <w:sz w:val="20"/>
              </w:rPr>
              <w:t>Kj/kg</w:t>
            </w:r>
          </w:p>
        </w:tc>
        <w:tc>
          <w:tcPr>
            <w:tcW w:w="1316" w:type="dxa"/>
          </w:tcPr>
          <w:p w:rsidR="004A25D3" w:rsidRPr="00FC0DF1" w:rsidRDefault="004A25D3" w:rsidP="004A25D3">
            <w:pPr>
              <w:pStyle w:val="Tabele"/>
              <w:rPr>
                <w:sz w:val="20"/>
              </w:rPr>
            </w:pPr>
            <w:r w:rsidRPr="00FC0DF1">
              <w:rPr>
                <w:caps/>
                <w:sz w:val="20"/>
              </w:rPr>
              <w:t>Nuk përdoret direkt</w:t>
            </w:r>
          </w:p>
        </w:tc>
        <w:tc>
          <w:tcPr>
            <w:tcW w:w="1856" w:type="dxa"/>
          </w:tcPr>
          <w:p w:rsidR="004A25D3" w:rsidRPr="00FC0DF1" w:rsidRDefault="004A25D3" w:rsidP="004A25D3">
            <w:pPr>
              <w:pStyle w:val="Tabele"/>
              <w:rPr>
                <w:sz w:val="20"/>
              </w:rPr>
            </w:pPr>
            <w:r w:rsidRPr="00FC0DF1">
              <w:rPr>
                <w:caps/>
                <w:sz w:val="20"/>
              </w:rPr>
              <w:t>Nuk përdoret direkt</w:t>
            </w:r>
          </w:p>
        </w:tc>
        <w:tc>
          <w:tcPr>
            <w:tcW w:w="1440" w:type="dxa"/>
          </w:tcPr>
          <w:p w:rsidR="004A25D3" w:rsidRPr="00FC0DF1" w:rsidRDefault="004A25D3" w:rsidP="004A25D3">
            <w:pPr>
              <w:pStyle w:val="Tabele"/>
              <w:rPr>
                <w:sz w:val="20"/>
              </w:rPr>
            </w:pPr>
            <w:r w:rsidRPr="00FC0DF1">
              <w:rPr>
                <w:caps/>
                <w:sz w:val="20"/>
              </w:rPr>
              <w:t>0.384</w:t>
            </w:r>
          </w:p>
          <w:p w:rsidR="004A25D3" w:rsidRPr="00FC0DF1" w:rsidRDefault="004A25D3" w:rsidP="004A25D3">
            <w:pPr>
              <w:pStyle w:val="Tabele"/>
              <w:rPr>
                <w:sz w:val="20"/>
              </w:rPr>
            </w:pPr>
            <w:r w:rsidRPr="00FC0DF1">
              <w:rPr>
                <w:caps/>
                <w:sz w:val="20"/>
              </w:rPr>
              <w:t>Kg/kwh</w:t>
            </w:r>
          </w:p>
        </w:tc>
        <w:tc>
          <w:tcPr>
            <w:tcW w:w="1574" w:type="dxa"/>
          </w:tcPr>
          <w:p w:rsidR="004A25D3" w:rsidRPr="00FC0DF1" w:rsidRDefault="004A25D3" w:rsidP="004A25D3">
            <w:pPr>
              <w:pStyle w:val="Tabele"/>
              <w:rPr>
                <w:sz w:val="20"/>
              </w:rPr>
            </w:pPr>
            <w:r w:rsidRPr="00FC0DF1">
              <w:rPr>
                <w:caps/>
                <w:sz w:val="20"/>
              </w:rPr>
              <w:t>Nuk përdoret</w:t>
            </w:r>
          </w:p>
          <w:p w:rsidR="004A25D3" w:rsidRPr="00FC0DF1" w:rsidRDefault="004A25D3" w:rsidP="004A25D3">
            <w:pPr>
              <w:pStyle w:val="Tabele"/>
              <w:rPr>
                <w:sz w:val="20"/>
              </w:rPr>
            </w:pPr>
            <w:r>
              <w:rPr>
                <w:caps/>
                <w:sz w:val="20"/>
              </w:rPr>
              <w:t>d</w:t>
            </w:r>
            <w:r w:rsidRPr="00FC0DF1">
              <w:rPr>
                <w:caps/>
                <w:sz w:val="20"/>
              </w:rPr>
              <w:t>irekt</w:t>
            </w:r>
          </w:p>
        </w:tc>
      </w:tr>
      <w:tr w:rsidR="004A25D3" w:rsidRPr="00FC0DF1">
        <w:tc>
          <w:tcPr>
            <w:tcW w:w="2232" w:type="dxa"/>
          </w:tcPr>
          <w:p w:rsidR="004A25D3" w:rsidRPr="00FC0DF1" w:rsidRDefault="004A25D3" w:rsidP="004A25D3">
            <w:pPr>
              <w:pStyle w:val="Tabele"/>
              <w:rPr>
                <w:sz w:val="20"/>
              </w:rPr>
            </w:pPr>
            <w:r w:rsidRPr="00FC0DF1">
              <w:rPr>
                <w:caps/>
                <w:sz w:val="20"/>
              </w:rPr>
              <w:t>Qymyr linjit lignite coal</w:t>
            </w:r>
          </w:p>
        </w:tc>
        <w:tc>
          <w:tcPr>
            <w:tcW w:w="1469" w:type="dxa"/>
          </w:tcPr>
          <w:p w:rsidR="004A25D3" w:rsidRPr="00FC0DF1" w:rsidRDefault="004A25D3" w:rsidP="004A25D3">
            <w:pPr>
              <w:pStyle w:val="Tabele"/>
              <w:rPr>
                <w:sz w:val="20"/>
              </w:rPr>
            </w:pPr>
            <w:r w:rsidRPr="00FC0DF1">
              <w:rPr>
                <w:caps/>
                <w:sz w:val="20"/>
              </w:rPr>
              <w:t>15070</w:t>
            </w:r>
          </w:p>
          <w:p w:rsidR="004A25D3" w:rsidRPr="00FC0DF1" w:rsidRDefault="004A25D3" w:rsidP="004A25D3">
            <w:pPr>
              <w:pStyle w:val="Tabele"/>
              <w:rPr>
                <w:sz w:val="20"/>
              </w:rPr>
            </w:pPr>
            <w:r w:rsidRPr="00FC0DF1">
              <w:rPr>
                <w:caps/>
                <w:sz w:val="20"/>
              </w:rPr>
              <w:t>Kj/kg</w:t>
            </w:r>
          </w:p>
        </w:tc>
        <w:tc>
          <w:tcPr>
            <w:tcW w:w="1316" w:type="dxa"/>
          </w:tcPr>
          <w:p w:rsidR="004A25D3" w:rsidRPr="00FC0DF1" w:rsidRDefault="004A25D3" w:rsidP="004A25D3">
            <w:pPr>
              <w:pStyle w:val="Tabele"/>
              <w:rPr>
                <w:sz w:val="20"/>
              </w:rPr>
            </w:pPr>
            <w:r w:rsidRPr="00FC0DF1">
              <w:rPr>
                <w:caps/>
                <w:sz w:val="20"/>
              </w:rPr>
              <w:t>Nuk përdoret direkt</w:t>
            </w:r>
          </w:p>
        </w:tc>
        <w:tc>
          <w:tcPr>
            <w:tcW w:w="1856" w:type="dxa"/>
          </w:tcPr>
          <w:p w:rsidR="004A25D3" w:rsidRPr="00FC0DF1" w:rsidRDefault="004A25D3" w:rsidP="004A25D3">
            <w:pPr>
              <w:pStyle w:val="Tabele"/>
              <w:rPr>
                <w:sz w:val="20"/>
              </w:rPr>
            </w:pPr>
            <w:r w:rsidRPr="00FC0DF1">
              <w:rPr>
                <w:caps/>
                <w:sz w:val="20"/>
              </w:rPr>
              <w:t>Nuk përdoret direkt</w:t>
            </w:r>
          </w:p>
        </w:tc>
        <w:tc>
          <w:tcPr>
            <w:tcW w:w="1440" w:type="dxa"/>
          </w:tcPr>
          <w:p w:rsidR="004A25D3" w:rsidRPr="00FC0DF1" w:rsidRDefault="004A25D3" w:rsidP="004A25D3">
            <w:pPr>
              <w:pStyle w:val="Tabele"/>
              <w:rPr>
                <w:sz w:val="20"/>
              </w:rPr>
            </w:pPr>
            <w:r w:rsidRPr="00FC0DF1">
              <w:rPr>
                <w:caps/>
                <w:sz w:val="20"/>
              </w:rPr>
              <w:t>0.771</w:t>
            </w:r>
          </w:p>
          <w:p w:rsidR="004A25D3" w:rsidRPr="00FC0DF1" w:rsidRDefault="004A25D3" w:rsidP="004A25D3">
            <w:pPr>
              <w:pStyle w:val="Tabele"/>
              <w:rPr>
                <w:sz w:val="20"/>
              </w:rPr>
            </w:pPr>
            <w:r w:rsidRPr="00FC0DF1">
              <w:rPr>
                <w:caps/>
                <w:sz w:val="20"/>
              </w:rPr>
              <w:t>Kg/kwh</w:t>
            </w:r>
          </w:p>
        </w:tc>
        <w:tc>
          <w:tcPr>
            <w:tcW w:w="1574" w:type="dxa"/>
          </w:tcPr>
          <w:p w:rsidR="004A25D3" w:rsidRPr="00FC0DF1" w:rsidRDefault="004A25D3" w:rsidP="004A25D3">
            <w:pPr>
              <w:pStyle w:val="Tabele"/>
              <w:rPr>
                <w:sz w:val="20"/>
              </w:rPr>
            </w:pPr>
            <w:r w:rsidRPr="00FC0DF1">
              <w:rPr>
                <w:caps/>
                <w:sz w:val="20"/>
              </w:rPr>
              <w:t>Nuk përdoret direkt</w:t>
            </w:r>
          </w:p>
        </w:tc>
      </w:tr>
    </w:tbl>
    <w:p w:rsidR="004A25D3" w:rsidRPr="00657D60" w:rsidRDefault="004A25D3" w:rsidP="004A25D3">
      <w:pPr>
        <w:pStyle w:val="Paragrafi"/>
      </w:pPr>
    </w:p>
    <w:p w:rsidR="000178C2" w:rsidRPr="00C84B66" w:rsidRDefault="000178C2" w:rsidP="004A25D3">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A25D3"/>
    <w:rsid w:val="000178C2"/>
    <w:rsid w:val="004A25D3"/>
    <w:rsid w:val="007E0C64"/>
    <w:rsid w:val="00A43CF7"/>
    <w:rsid w:val="00C84B66"/>
    <w:rsid w:val="00FC1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DA78B46-038B-41F9-9795-8E201FB72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5D3"/>
    <w:pPr>
      <w:widowControl w:val="0"/>
    </w:pPr>
    <w:rPr>
      <w:rFonts w:ascii="CG Times" w:hAnsi="CG Times"/>
      <w:sz w:val="22"/>
      <w:szCs w:val="22"/>
      <w:lang w:val="sq-AL"/>
    </w:rPr>
  </w:style>
  <w:style w:type="paragraph" w:styleId="Heading1">
    <w:name w:val="heading 1"/>
    <w:basedOn w:val="Normal"/>
    <w:next w:val="Normal"/>
    <w:qFormat/>
    <w:rsid w:val="00FC1CEB"/>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FC1CEB"/>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FC1CEB"/>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FC1CEB"/>
    <w:rPr>
      <w:rFonts w:ascii="CG Times" w:hAnsi="CG Times"/>
      <w:sz w:val="22"/>
      <w:lang w:val="en-GB"/>
    </w:rPr>
  </w:style>
  <w:style w:type="paragraph" w:customStyle="1" w:styleId="AneksiNr">
    <w:name w:val="Aneksi_Nr"/>
    <w:next w:val="Normal"/>
    <w:rsid w:val="00FC1CEB"/>
    <w:pPr>
      <w:keepNext/>
      <w:widowControl w:val="0"/>
      <w:jc w:val="center"/>
    </w:pPr>
    <w:rPr>
      <w:rFonts w:ascii="CG Times" w:hAnsi="CG Times"/>
      <w:caps/>
      <w:sz w:val="22"/>
      <w:szCs w:val="22"/>
      <w:lang w:val="en-GB"/>
    </w:rPr>
  </w:style>
  <w:style w:type="paragraph" w:customStyle="1" w:styleId="AneksiTitull">
    <w:name w:val="Aneksi_Titull"/>
    <w:next w:val="Normal"/>
    <w:rsid w:val="00FC1CEB"/>
    <w:pPr>
      <w:jc w:val="center"/>
    </w:pPr>
    <w:rPr>
      <w:rFonts w:ascii="CG Times" w:hAnsi="CG Times"/>
      <w:sz w:val="24"/>
      <w:szCs w:val="24"/>
      <w:lang w:val="en-GB"/>
    </w:rPr>
  </w:style>
  <w:style w:type="paragraph" w:customStyle="1" w:styleId="Autoriteti">
    <w:name w:val="Autoriteti"/>
    <w:next w:val="Normal"/>
    <w:rsid w:val="00FC1CEB"/>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FC1CEB"/>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FC1CEB"/>
    <w:rPr>
      <w:rFonts w:ascii="CG Times" w:eastAsia="MS Mincho" w:hAnsi="CG Times"/>
      <w:b/>
      <w:sz w:val="22"/>
      <w:szCs w:val="22"/>
      <w:lang w:val="en-GB" w:eastAsia="en-US" w:bidi="ar-SA"/>
    </w:rPr>
  </w:style>
  <w:style w:type="paragraph" w:customStyle="1" w:styleId="BazLigjPropozues">
    <w:name w:val="Baz_Ligj_Propozues"/>
    <w:rsid w:val="00FC1CEB"/>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FC1CE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FC1CE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FC1CEB"/>
    <w:pPr>
      <w:spacing w:after="720"/>
      <w:ind w:left="1134"/>
      <w:jc w:val="both"/>
    </w:pPr>
    <w:rPr>
      <w:rFonts w:ascii="Arial" w:hAnsi="Arial"/>
      <w:sz w:val="20"/>
      <w:szCs w:val="20"/>
      <w:lang w:val="en-GB"/>
    </w:rPr>
  </w:style>
  <w:style w:type="paragraph" w:customStyle="1" w:styleId="bcverylastparaa">
    <w:name w:val="bc very last para (a)"/>
    <w:basedOn w:val="Normal"/>
    <w:rsid w:val="00FC1CEB"/>
    <w:pPr>
      <w:spacing w:after="720"/>
      <w:ind w:left="1843" w:hanging="709"/>
      <w:jc w:val="both"/>
    </w:pPr>
    <w:rPr>
      <w:rFonts w:ascii="Arial" w:hAnsi="Arial"/>
      <w:noProof/>
      <w:sz w:val="20"/>
      <w:szCs w:val="20"/>
      <w:lang w:val="en-GB"/>
    </w:rPr>
  </w:style>
  <w:style w:type="paragraph" w:customStyle="1" w:styleId="Bllok">
    <w:name w:val="Bllok"/>
    <w:next w:val="Normal"/>
    <w:rsid w:val="00FC1CEB"/>
    <w:pPr>
      <w:jc w:val="center"/>
    </w:pPr>
    <w:rPr>
      <w:rFonts w:ascii="CG Times" w:hAnsi="CG Times"/>
      <w:caps/>
      <w:sz w:val="22"/>
      <w:szCs w:val="22"/>
      <w:lang w:val="en-GB"/>
    </w:rPr>
  </w:style>
  <w:style w:type="paragraph" w:customStyle="1" w:styleId="extraclauses">
    <w:name w:val="extra_clauses"/>
    <w:basedOn w:val="Normal"/>
    <w:rsid w:val="00FC1CE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FC1CEB"/>
    <w:pPr>
      <w:widowControl w:val="0"/>
      <w:outlineLvl w:val="2"/>
    </w:pPr>
    <w:rPr>
      <w:rFonts w:ascii="CG Times" w:hAnsi="CG Times"/>
      <w:sz w:val="22"/>
    </w:rPr>
  </w:style>
  <w:style w:type="paragraph" w:customStyle="1" w:styleId="footnote">
    <w:name w:val="footnote"/>
    <w:basedOn w:val="Normal"/>
    <w:rsid w:val="00FC1CEB"/>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FC1CEB"/>
    <w:pPr>
      <w:keepNext/>
      <w:widowControl w:val="0"/>
      <w:jc w:val="center"/>
    </w:pPr>
    <w:rPr>
      <w:rFonts w:ascii="CG Times" w:hAnsi="CG Times"/>
      <w:caps/>
      <w:sz w:val="22"/>
      <w:szCs w:val="22"/>
      <w:lang w:val="en-GB"/>
    </w:rPr>
  </w:style>
  <w:style w:type="paragraph" w:customStyle="1" w:styleId="Kapakufund">
    <w:name w:val="Kapaku_fund"/>
    <w:next w:val="Normal"/>
    <w:rsid w:val="00FC1CEB"/>
    <w:pPr>
      <w:pageBreakBefore/>
    </w:pPr>
    <w:rPr>
      <w:rFonts w:ascii="CG Times" w:hAnsi="CG Times"/>
      <w:b/>
      <w:sz w:val="22"/>
      <w:szCs w:val="22"/>
    </w:rPr>
  </w:style>
  <w:style w:type="paragraph" w:customStyle="1" w:styleId="KapitulliNr">
    <w:name w:val="Kapitulli_Nr"/>
    <w:rsid w:val="00FC1CEB"/>
    <w:pPr>
      <w:keepNext/>
      <w:widowControl w:val="0"/>
      <w:jc w:val="center"/>
    </w:pPr>
    <w:rPr>
      <w:rFonts w:ascii="CG Times" w:hAnsi="CG Times"/>
      <w:caps/>
      <w:sz w:val="22"/>
      <w:szCs w:val="22"/>
      <w:lang w:val="en-GB"/>
    </w:rPr>
  </w:style>
  <w:style w:type="paragraph" w:customStyle="1" w:styleId="KapitulliTitull">
    <w:name w:val="Kapitulli_Titull"/>
    <w:rsid w:val="00FC1CEB"/>
    <w:pPr>
      <w:keepNext/>
      <w:widowControl w:val="0"/>
      <w:jc w:val="center"/>
    </w:pPr>
    <w:rPr>
      <w:rFonts w:ascii="CG Times" w:hAnsi="CG Times"/>
      <w:caps/>
      <w:sz w:val="22"/>
      <w:szCs w:val="22"/>
      <w:lang w:val="en-GB"/>
    </w:rPr>
  </w:style>
  <w:style w:type="paragraph" w:customStyle="1" w:styleId="KreuNr">
    <w:name w:val="Kreu_Nr"/>
    <w:rsid w:val="00FC1CEB"/>
    <w:pPr>
      <w:keepNext/>
      <w:widowControl w:val="0"/>
      <w:jc w:val="center"/>
    </w:pPr>
    <w:rPr>
      <w:rFonts w:ascii="CG Times" w:hAnsi="CG Times"/>
      <w:caps/>
      <w:sz w:val="22"/>
      <w:szCs w:val="22"/>
    </w:rPr>
  </w:style>
  <w:style w:type="paragraph" w:customStyle="1" w:styleId="KreuTitull">
    <w:name w:val="Kreu_Titull"/>
    <w:next w:val="KapitulliTitull"/>
    <w:rsid w:val="00FC1CEB"/>
    <w:pPr>
      <w:keepNext/>
      <w:widowControl w:val="0"/>
      <w:jc w:val="center"/>
    </w:pPr>
    <w:rPr>
      <w:rFonts w:ascii="CG Times" w:hAnsi="CG Times"/>
      <w:caps/>
      <w:sz w:val="22"/>
      <w:szCs w:val="22"/>
    </w:rPr>
  </w:style>
  <w:style w:type="paragraph" w:customStyle="1" w:styleId="Ndryshimet">
    <w:name w:val="Ndryshimet"/>
    <w:next w:val="Normal"/>
    <w:rsid w:val="00FC1CEB"/>
    <w:pPr>
      <w:keepNext/>
      <w:widowControl w:val="0"/>
      <w:jc w:val="center"/>
    </w:pPr>
    <w:rPr>
      <w:rFonts w:ascii="CG Times" w:hAnsi="CG Times"/>
      <w:i/>
      <w:sz w:val="22"/>
    </w:rPr>
  </w:style>
  <w:style w:type="paragraph" w:customStyle="1" w:styleId="NeniNr">
    <w:name w:val="Neni_Nr"/>
    <w:next w:val="Normal"/>
    <w:rsid w:val="00FC1CEB"/>
    <w:pPr>
      <w:keepNext/>
      <w:widowControl w:val="0"/>
      <w:jc w:val="center"/>
    </w:pPr>
    <w:rPr>
      <w:rFonts w:ascii="CG Times" w:hAnsi="CG Times"/>
      <w:sz w:val="22"/>
      <w:lang w:val="en-GB"/>
    </w:rPr>
  </w:style>
  <w:style w:type="paragraph" w:customStyle="1" w:styleId="NeniTitull">
    <w:name w:val="Neni_Titull"/>
    <w:next w:val="Normal"/>
    <w:rsid w:val="00FC1CEB"/>
    <w:pPr>
      <w:keepNext/>
      <w:widowControl w:val="0"/>
      <w:jc w:val="center"/>
      <w:outlineLvl w:val="2"/>
    </w:pPr>
    <w:rPr>
      <w:rFonts w:ascii="CG Times" w:hAnsi="CG Times"/>
      <w:b/>
      <w:sz w:val="22"/>
      <w:lang w:val="en-GB"/>
    </w:rPr>
  </w:style>
  <w:style w:type="paragraph" w:customStyle="1" w:styleId="NenkreuNr">
    <w:name w:val="Nenkreu_Nr"/>
    <w:rsid w:val="00FC1CEB"/>
    <w:pPr>
      <w:keepNext/>
      <w:widowControl w:val="0"/>
      <w:jc w:val="center"/>
    </w:pPr>
    <w:rPr>
      <w:rFonts w:ascii="CG Times" w:hAnsi="CG Times"/>
      <w:caps/>
      <w:sz w:val="22"/>
      <w:szCs w:val="22"/>
      <w:lang w:val="en-GB"/>
    </w:rPr>
  </w:style>
  <w:style w:type="paragraph" w:customStyle="1" w:styleId="NenkreuTitull">
    <w:name w:val="Nenkreu_Titull"/>
    <w:rsid w:val="00FC1CEB"/>
    <w:pPr>
      <w:jc w:val="center"/>
    </w:pPr>
    <w:rPr>
      <w:rFonts w:ascii="CG Times" w:hAnsi="CG Times"/>
      <w:caps/>
      <w:sz w:val="22"/>
      <w:szCs w:val="22"/>
      <w:lang w:val="en-GB"/>
    </w:rPr>
  </w:style>
  <w:style w:type="paragraph" w:customStyle="1" w:styleId="Nenpika">
    <w:name w:val="Nenpika"/>
    <w:next w:val="Normal"/>
    <w:autoRedefine/>
    <w:rsid w:val="00FC1CEB"/>
    <w:pPr>
      <w:ind w:firstLine="720"/>
    </w:pPr>
    <w:rPr>
      <w:rFonts w:ascii="CG Times" w:hAnsi="CG Times"/>
      <w:sz w:val="22"/>
    </w:rPr>
  </w:style>
  <w:style w:type="paragraph" w:customStyle="1" w:styleId="NormaleBookmanOldStyle">
    <w:name w:val="Normale + Bookman Old Style"/>
    <w:aliases w:val="Giustificato,Dopo:  6 pt"/>
    <w:basedOn w:val="Normal"/>
    <w:rsid w:val="00FC1CEB"/>
    <w:pPr>
      <w:spacing w:after="120"/>
      <w:jc w:val="both"/>
    </w:pPr>
    <w:rPr>
      <w:rFonts w:ascii="Bookman Old Style" w:hAnsi="Bookman Old Style"/>
      <w:szCs w:val="20"/>
    </w:rPr>
  </w:style>
  <w:style w:type="paragraph" w:customStyle="1" w:styleId="numberedindent">
    <w:name w:val="numberedindent"/>
    <w:rsid w:val="00FC1CEB"/>
    <w:pPr>
      <w:tabs>
        <w:tab w:val="num" w:pos="1800"/>
      </w:tabs>
      <w:spacing w:after="120"/>
      <w:jc w:val="both"/>
    </w:pPr>
    <w:rPr>
      <w:rFonts w:ascii="Arial" w:hAnsi="Arial"/>
      <w:lang w:val="en-GB"/>
    </w:rPr>
  </w:style>
  <w:style w:type="paragraph" w:customStyle="1" w:styleId="NumriData">
    <w:name w:val="Numri_Data"/>
    <w:next w:val="Normal"/>
    <w:rsid w:val="00FC1CEB"/>
    <w:pPr>
      <w:keepNext/>
      <w:widowControl w:val="0"/>
      <w:jc w:val="center"/>
      <w:outlineLvl w:val="0"/>
    </w:pPr>
    <w:rPr>
      <w:rFonts w:ascii="CG Times" w:hAnsi="CG Times"/>
      <w:b/>
      <w:sz w:val="22"/>
      <w:lang w:val="en-GB"/>
    </w:rPr>
  </w:style>
  <w:style w:type="paragraph" w:customStyle="1" w:styleId="Paragrafi">
    <w:name w:val="Paragrafi"/>
    <w:link w:val="ParagrafiChar"/>
    <w:rsid w:val="00FC1CEB"/>
    <w:pPr>
      <w:widowControl w:val="0"/>
      <w:ind w:firstLine="720"/>
      <w:jc w:val="both"/>
    </w:pPr>
    <w:rPr>
      <w:rFonts w:ascii="CG Times" w:hAnsi="CG Times"/>
      <w:sz w:val="22"/>
    </w:rPr>
  </w:style>
  <w:style w:type="paragraph" w:customStyle="1" w:styleId="Pika">
    <w:name w:val="Pika"/>
    <w:next w:val="Normal"/>
    <w:autoRedefine/>
    <w:rsid w:val="00FC1CEB"/>
    <w:pPr>
      <w:ind w:firstLine="720"/>
    </w:pPr>
    <w:rPr>
      <w:rFonts w:ascii="CG Times" w:hAnsi="CG Times"/>
      <w:sz w:val="22"/>
    </w:rPr>
  </w:style>
  <w:style w:type="paragraph" w:customStyle="1" w:styleId="PikeKreu">
    <w:name w:val="Pike_Kreu"/>
    <w:basedOn w:val="Heading1"/>
    <w:rsid w:val="00FC1CEB"/>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FC1CEB"/>
    <w:pPr>
      <w:keepNext/>
      <w:widowControl w:val="0"/>
      <w:jc w:val="center"/>
    </w:pPr>
    <w:rPr>
      <w:rFonts w:ascii="CG Times" w:hAnsi="CG Times"/>
      <w:caps/>
      <w:sz w:val="22"/>
      <w:szCs w:val="22"/>
      <w:lang w:val="en-GB"/>
    </w:rPr>
  </w:style>
  <w:style w:type="paragraph" w:customStyle="1" w:styleId="PjesaTitull">
    <w:name w:val="Pjesa_Titull"/>
    <w:rsid w:val="00FC1CEB"/>
    <w:pPr>
      <w:keepNext/>
      <w:widowControl w:val="0"/>
      <w:jc w:val="center"/>
    </w:pPr>
    <w:rPr>
      <w:rFonts w:ascii="CG Times" w:hAnsi="CG Times"/>
      <w:caps/>
      <w:sz w:val="22"/>
      <w:szCs w:val="22"/>
      <w:lang w:val="en-GB"/>
    </w:rPr>
  </w:style>
  <w:style w:type="paragraph" w:customStyle="1" w:styleId="Shpallja">
    <w:name w:val="Shpallja"/>
    <w:rsid w:val="00FC1CEB"/>
    <w:pPr>
      <w:widowControl w:val="0"/>
      <w:jc w:val="both"/>
    </w:pPr>
    <w:rPr>
      <w:rFonts w:ascii="CG Times" w:hAnsi="CG Times"/>
      <w:b/>
      <w:color w:val="000000"/>
      <w:sz w:val="22"/>
      <w:szCs w:val="22"/>
      <w:lang w:val="sq-AL"/>
    </w:rPr>
  </w:style>
  <w:style w:type="paragraph" w:customStyle="1" w:styleId="Tabele">
    <w:name w:val="Tabele"/>
    <w:rsid w:val="00FC1CEB"/>
    <w:rPr>
      <w:rFonts w:ascii="CG Times" w:hAnsi="CG Times"/>
      <w:sz w:val="22"/>
      <w:lang w:val="en-GB"/>
    </w:rPr>
  </w:style>
  <w:style w:type="paragraph" w:customStyle="1" w:styleId="text">
    <w:name w:val="text"/>
    <w:basedOn w:val="Normal"/>
    <w:rsid w:val="00FC1CEB"/>
    <w:pPr>
      <w:ind w:left="709"/>
      <w:jc w:val="both"/>
    </w:pPr>
    <w:rPr>
      <w:rFonts w:ascii="Arial" w:hAnsi="Arial"/>
      <w:sz w:val="20"/>
      <w:szCs w:val="20"/>
      <w:lang w:val="fr-FR"/>
    </w:rPr>
  </w:style>
  <w:style w:type="paragraph" w:customStyle="1" w:styleId="Titulli">
    <w:name w:val="Titulli"/>
    <w:next w:val="Normal"/>
    <w:link w:val="TitulliChar"/>
    <w:rsid w:val="00FC1CEB"/>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FC1CEB"/>
    <w:rPr>
      <w:rFonts w:ascii="CG Times" w:eastAsia="MS Mincho" w:hAnsi="CG Times"/>
      <w:b/>
      <w:caps/>
      <w:sz w:val="22"/>
      <w:szCs w:val="22"/>
      <w:lang w:val="en-GB" w:eastAsia="en-US" w:bidi="ar-SA"/>
    </w:rPr>
  </w:style>
  <w:style w:type="paragraph" w:customStyle="1" w:styleId="TitulliNr">
    <w:name w:val="Titulli_Nr"/>
    <w:rsid w:val="00FC1CEB"/>
    <w:pPr>
      <w:keepNext/>
      <w:widowControl w:val="0"/>
      <w:jc w:val="center"/>
    </w:pPr>
    <w:rPr>
      <w:rFonts w:ascii="CG Times" w:hAnsi="CG Times"/>
      <w:caps/>
      <w:sz w:val="22"/>
      <w:szCs w:val="22"/>
      <w:lang w:val="en-GB"/>
    </w:rPr>
  </w:style>
  <w:style w:type="paragraph" w:customStyle="1" w:styleId="TitulliTitull">
    <w:name w:val="Titulli_Titull"/>
    <w:rsid w:val="00FC1CEB"/>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FC1CEB"/>
    <w:pPr>
      <w:keepNext/>
      <w:widowControl w:val="0"/>
      <w:jc w:val="center"/>
    </w:pPr>
    <w:rPr>
      <w:rFonts w:ascii="CG Times" w:hAnsi="CG Times"/>
      <w:caps/>
      <w:sz w:val="22"/>
      <w:szCs w:val="22"/>
      <w:lang w:val="en-GB"/>
    </w:rPr>
  </w:style>
  <w:style w:type="character" w:customStyle="1" w:styleId="AutoritetiEmerChar">
    <w:name w:val="Autoriteti_Emer Char"/>
    <w:basedOn w:val="DefaultParagraphFont"/>
    <w:link w:val="AutoritetiEmer"/>
    <w:rsid w:val="004A25D3"/>
    <w:rPr>
      <w:rFonts w:ascii="CG Times" w:hAnsi="CG Times"/>
      <w:b/>
      <w:sz w:val="22"/>
      <w:szCs w:val="22"/>
      <w:lang w:val="en-GB" w:eastAsia="en-US" w:bidi="ar-SA"/>
    </w:rPr>
  </w:style>
  <w:style w:type="character" w:customStyle="1" w:styleId="ParagrafiChar">
    <w:name w:val="Paragrafi Char"/>
    <w:basedOn w:val="DefaultParagraphFont"/>
    <w:link w:val="Paragrafi"/>
    <w:rsid w:val="004A25D3"/>
    <w:rPr>
      <w:rFonts w:ascii="CG Times" w:hAnsi="CG Times"/>
      <w:sz w:val="22"/>
      <w:lang w:val="en-US" w:eastAsia="en-US" w:bidi="ar-SA"/>
    </w:rPr>
  </w:style>
  <w:style w:type="character" w:customStyle="1" w:styleId="TitulliChar">
    <w:name w:val="Titulli Char"/>
    <w:basedOn w:val="DefaultParagraphFont"/>
    <w:link w:val="Titulli"/>
    <w:rsid w:val="004A25D3"/>
    <w:rPr>
      <w:rFonts w:ascii="CG Times" w:hAnsi="CG Times"/>
      <w:b/>
      <w:caps/>
      <w:sz w:val="22"/>
      <w:szCs w:val="22"/>
      <w:lang w:val="en-GB" w:eastAsia="en-US" w:bidi="ar-SA"/>
    </w:rPr>
  </w:style>
  <w:style w:type="character" w:customStyle="1" w:styleId="VENDOSIChar">
    <w:name w:val="VENDOSI Char"/>
    <w:basedOn w:val="DefaultParagraphFont"/>
    <w:link w:val="VENDOSI"/>
    <w:rsid w:val="004A25D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1446</Words>
  <Characters>8246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9673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2019-04-03T13:34:00Z</dcterms:created>
  <dcterms:modified xsi:type="dcterms:W3CDTF">2019-04-03T13:34:00Z</dcterms:modified>
</cp:coreProperties>
</file>