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34" w:rsidRPr="00994358" w:rsidRDefault="00C51734" w:rsidP="00C51734">
      <w:pPr>
        <w:pStyle w:val="Akti"/>
        <w:keepNext w:val="0"/>
        <w:rPr>
          <w:lang w:val="sq-AL"/>
        </w:rPr>
      </w:pPr>
      <w:bookmarkStart w:id="0" w:name="_GoBack"/>
      <w:bookmarkEnd w:id="0"/>
      <w:r w:rsidRPr="00994358">
        <w:rPr>
          <w:lang w:val="sq-AL"/>
        </w:rPr>
        <w:t>Vendim</w:t>
      </w:r>
    </w:p>
    <w:p w:rsidR="00C51734" w:rsidRPr="00994358" w:rsidRDefault="00C51734" w:rsidP="00C51734">
      <w:pPr>
        <w:pStyle w:val="NumriData"/>
        <w:keepNext w:val="0"/>
        <w:rPr>
          <w:lang w:val="sq-AL"/>
        </w:rPr>
      </w:pPr>
      <w:r w:rsidRPr="00994358">
        <w:rPr>
          <w:lang w:val="sq-AL"/>
        </w:rPr>
        <w:t>Nr.866, datë 12.12.2007</w:t>
      </w:r>
    </w:p>
    <w:p w:rsidR="00C51734" w:rsidRPr="00994358" w:rsidRDefault="00C51734" w:rsidP="00C51734">
      <w:pPr>
        <w:pStyle w:val="Paragrafi"/>
        <w:rPr>
          <w:lang w:val="sq-AL"/>
        </w:rPr>
      </w:pPr>
    </w:p>
    <w:p w:rsidR="00C51734" w:rsidRPr="00994358" w:rsidRDefault="00C51734" w:rsidP="00C51734">
      <w:pPr>
        <w:pStyle w:val="Titulli"/>
        <w:keepNext w:val="0"/>
        <w:rPr>
          <w:lang w:val="sq-AL"/>
        </w:rPr>
      </w:pPr>
      <w:r w:rsidRPr="00994358">
        <w:rPr>
          <w:lang w:val="sq-AL"/>
        </w:rPr>
        <w:t>Për shpronësimin, për interes publik, të pronarëve të pasurive të paluajtshme, pronë private, që preket nga ndërtimi i unazës, Shkodër</w:t>
      </w:r>
    </w:p>
    <w:p w:rsidR="00C51734" w:rsidRPr="00994358" w:rsidRDefault="00C51734" w:rsidP="00C51734">
      <w:pPr>
        <w:pStyle w:val="Paragrafi"/>
        <w:rPr>
          <w:lang w:val="sq-AL"/>
        </w:rPr>
      </w:pP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Në mbështetje të nenit 100 të Kushtetut</w:t>
      </w:r>
      <w:r>
        <w:rPr>
          <w:lang w:val="sq-AL"/>
        </w:rPr>
        <w:t>ës të neneve 5, pika 1, 20 e 21</w:t>
      </w:r>
      <w:r w:rsidRPr="00994358">
        <w:rPr>
          <w:lang w:val="sq-AL"/>
        </w:rPr>
        <w:t xml:space="preserve"> të </w:t>
      </w:r>
      <w:r>
        <w:rPr>
          <w:lang w:val="sq-AL"/>
        </w:rPr>
        <w:t>ligjit nr.8561, datë 22.12.1999</w:t>
      </w:r>
      <w:r w:rsidRPr="00994358">
        <w:rPr>
          <w:lang w:val="sq-AL"/>
        </w:rPr>
        <w:t xml:space="preserve"> “Për shpronësimet dhe marrjen në përdorim të përkohshëm të pasurisë, pro</w:t>
      </w:r>
      <w:r>
        <w:rPr>
          <w:lang w:val="sq-AL"/>
        </w:rPr>
        <w:t>në private, për interes publik” dhe të nenit 8</w:t>
      </w:r>
      <w:r w:rsidRPr="00994358">
        <w:rPr>
          <w:lang w:val="sq-AL"/>
        </w:rPr>
        <w:t xml:space="preserve"> të </w:t>
      </w:r>
      <w:r>
        <w:rPr>
          <w:lang w:val="sq-AL"/>
        </w:rPr>
        <w:t>ligjit nr.9464, datë 28.12.2005 “Për Buxhetin e Shtetit</w:t>
      </w:r>
      <w:r w:rsidRPr="00994358">
        <w:rPr>
          <w:lang w:val="sq-AL"/>
        </w:rPr>
        <w:t xml:space="preserve"> të v</w:t>
      </w:r>
      <w:r>
        <w:rPr>
          <w:lang w:val="sq-AL"/>
        </w:rPr>
        <w:t>itit 200</w:t>
      </w:r>
      <w:r w:rsidRPr="00994358">
        <w:rPr>
          <w:lang w:val="sq-AL"/>
        </w:rPr>
        <w:t>6”, të ndryshuar, me propozimin e Ministrit të Punëve Publike, Transportit dhe Telekomunik</w:t>
      </w:r>
      <w:r>
        <w:rPr>
          <w:lang w:val="sq-AL"/>
        </w:rPr>
        <w:t>a</w:t>
      </w:r>
      <w:r w:rsidRPr="00994358">
        <w:rPr>
          <w:lang w:val="sq-AL"/>
        </w:rPr>
        <w:t>cionit, Këshilli i Ministrave</w:t>
      </w:r>
    </w:p>
    <w:p w:rsidR="00C51734" w:rsidRPr="00994358" w:rsidRDefault="00C51734" w:rsidP="00C51734">
      <w:pPr>
        <w:pStyle w:val="Paragrafi"/>
        <w:rPr>
          <w:lang w:val="sq-AL"/>
        </w:rPr>
      </w:pPr>
    </w:p>
    <w:p w:rsidR="00C51734" w:rsidRPr="009D573A" w:rsidRDefault="00C51734" w:rsidP="00C51734">
      <w:pPr>
        <w:pStyle w:val="VENDOSI"/>
        <w:rPr>
          <w:lang w:val="sq-AL"/>
        </w:rPr>
      </w:pPr>
      <w:r w:rsidRPr="009D573A">
        <w:rPr>
          <w:lang w:val="sq-AL"/>
        </w:rPr>
        <w:t>Vendosi:</w:t>
      </w:r>
    </w:p>
    <w:p w:rsidR="00C51734" w:rsidRPr="00994358" w:rsidRDefault="00C51734" w:rsidP="00C51734">
      <w:pPr>
        <w:pStyle w:val="Paragrafi"/>
        <w:rPr>
          <w:lang w:val="sq-AL"/>
        </w:rPr>
      </w:pP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1. Shpronësimin, për interes publik, të pronarëve të pasurive të paluajtshme, pronë private, që preket nga ndërtimi i unazës, Shkodër.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2.</w:t>
      </w:r>
      <w:r>
        <w:rPr>
          <w:lang w:val="sq-AL"/>
        </w:rPr>
        <w:t xml:space="preserve"> </w:t>
      </w:r>
      <w:r w:rsidRPr="00994358">
        <w:rPr>
          <w:lang w:val="sq-AL"/>
        </w:rPr>
        <w:t>Shpronësimi të bëhet në favor të Drejtorisë së Përgjithshme të Rrugëve.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3.</w:t>
      </w:r>
      <w:r>
        <w:rPr>
          <w:lang w:val="sq-AL"/>
        </w:rPr>
        <w:t xml:space="preserve"> </w:t>
      </w:r>
      <w:r w:rsidRPr="00994358">
        <w:rPr>
          <w:lang w:val="sq-AL"/>
        </w:rPr>
        <w:t>Pronarët e pasurive të paluajtshme, pronë private, që shpronësohen, të kompensohen në vlerë të plotë, sipas masës përkatëse, që paraqitet në tabelat, që i bashkëlidhen këtij vendimi, si pjesë përbërëse e tij, për sipërfaqen 10 916.4 m</w:t>
      </w:r>
      <w:r w:rsidRPr="00994358">
        <w:rPr>
          <w:vertAlign w:val="superscript"/>
          <w:lang w:val="sq-AL"/>
        </w:rPr>
        <w:t>2</w:t>
      </w:r>
      <w:r w:rsidRPr="00994358">
        <w:rPr>
          <w:lang w:val="sq-AL"/>
        </w:rPr>
        <w:t>, tokë truall, e vlerësuar me 4 500 lekë/m</w:t>
      </w:r>
      <w:r w:rsidRPr="00994358">
        <w:rPr>
          <w:vertAlign w:val="superscript"/>
          <w:lang w:val="sq-AL"/>
        </w:rPr>
        <w:t>2</w:t>
      </w:r>
      <w:r w:rsidRPr="00994358">
        <w:rPr>
          <w:lang w:val="sq-AL"/>
        </w:rPr>
        <w:t>, me vlerës shpronësimi 49 123 800 (dyzet e nëntë milionë e njëqind e njëzet e tre mijë e tetëqind) lekë, si dhe për objekte, të vlerësuara në shumën 27 928 972 (njëzet e shtetë milionë e nëntëqind e njëzet e tetë mijë e nëntëqind e shtatëdhjetë e dy) lekë, e vlerësuar në shumën e përgjithshme 77 052 772 (shtetëdhjetë e shtatë milionë e pesëdhjetë e dy mijë e shtatëqind e shtatëdhjetë e dy) lekë.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4.</w:t>
      </w:r>
      <w:r>
        <w:rPr>
          <w:lang w:val="sq-AL"/>
        </w:rPr>
        <w:t xml:space="preserve"> </w:t>
      </w:r>
      <w:r w:rsidRPr="00994358">
        <w:rPr>
          <w:lang w:val="sq-AL"/>
        </w:rPr>
        <w:t>Shpenzimet procedurale, në shumën 735 000 (shtatëqind e tridhjetë e pesë mijë) lekë, të përballohen nga Drejtoria e Përgjithshme e Rrugëve.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5.</w:t>
      </w:r>
      <w:r>
        <w:rPr>
          <w:lang w:val="sq-AL"/>
        </w:rPr>
        <w:t xml:space="preserve"> </w:t>
      </w:r>
      <w:r w:rsidRPr="00994358">
        <w:rPr>
          <w:lang w:val="sq-AL"/>
        </w:rPr>
        <w:t>Vlera e përgjithshme e shpronësimit, prej 77 052 772 (shtatëdhjetë e shtatë milionë e pesëdhjetë e dy mijë e shtatëqind e shtatëdhjetë e dy) lekësh, të përballohet nga llogaria e veçantë e Ministrisë së Financave në Bankën e Shqipërisë, “Fondi i shpronësimeve”.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6.</w:t>
      </w:r>
      <w:r>
        <w:rPr>
          <w:lang w:val="sq-AL"/>
        </w:rPr>
        <w:t xml:space="preserve"> </w:t>
      </w:r>
      <w:r w:rsidRPr="00994358">
        <w:rPr>
          <w:lang w:val="sq-AL"/>
        </w:rPr>
        <w:t>Shpronësimi të fillojë e të përfundojë brenda muajit dhjetor 2007.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7.</w:t>
      </w:r>
      <w:r>
        <w:rPr>
          <w:lang w:val="sq-AL"/>
        </w:rPr>
        <w:t xml:space="preserve"> </w:t>
      </w:r>
      <w:r w:rsidRPr="00994358">
        <w:rPr>
          <w:lang w:val="sq-AL"/>
        </w:rPr>
        <w:t xml:space="preserve">Drejtoria e Përgjithshme e Rrugëve të bëjë likuidimin e pronarëve, brenda </w:t>
      </w:r>
      <w:r>
        <w:rPr>
          <w:lang w:val="sq-AL"/>
        </w:rPr>
        <w:t>afatit të përcaktuar në pikën 6</w:t>
      </w:r>
      <w:r w:rsidRPr="00994358">
        <w:rPr>
          <w:lang w:val="sq-AL"/>
        </w:rPr>
        <w:t xml:space="preserve"> të këtij vendimi.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8.</w:t>
      </w:r>
      <w:r>
        <w:rPr>
          <w:lang w:val="sq-AL"/>
        </w:rPr>
        <w:t xml:space="preserve"> </w:t>
      </w:r>
      <w:r w:rsidRPr="00994358">
        <w:rPr>
          <w:lang w:val="sq-AL"/>
        </w:rPr>
        <w:t>Pronarët e përmendur në listën, që i bashkëlidhet këtij vendimi, për të cilët është bërë shënimi “Konfirmim nga ZRPP-ja”, të kompensohen, për efekt shpronësimi, pasi të kenë paraqitur dokumentacionin e pronësisë pranë Drejtorisë së Përgjithshme të Rrugëve.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Të gjithë pronarët, të cilët kanë dorëzuar, paraprakisht, dokumentacionin e pronësisë pranë Drejtorisë së Përgjithshme të Rrugëve në çastin e likuidimit duhet të dorëzojnë kartelën e pronësisë, brenda afateve ligjore të vlefshmërisë së saj.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Të gjithë pronarët, për të cilët është bërë shënimi “Proces regjistrimi”, të kompensohen, për efekt shpronësimi, pasi të ketë përfunduar procesi i regjistrimit dhe të kenë paraqitur dokumentacionin e plotë të pronësisë, pranë Drejtorisë së Përgjithshme të Rrugëve.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9.Ngarkohen Ministria e Punëve Publike, Transportit dhe Telekomunikacionit dhe Drejtoria e Përgjithshme e Rrugëve për zbatimin e këtij vendimi.</w:t>
      </w:r>
    </w:p>
    <w:p w:rsidR="00C51734" w:rsidRPr="00994358" w:rsidRDefault="00C51734" w:rsidP="00C51734">
      <w:pPr>
        <w:pStyle w:val="Paragrafi"/>
        <w:rPr>
          <w:lang w:val="sq-AL"/>
        </w:rPr>
      </w:pPr>
      <w:r w:rsidRPr="00994358">
        <w:rPr>
          <w:lang w:val="sq-AL"/>
        </w:rPr>
        <w:t>Ky vendim hyn në fuqi menjëherë dhe botohet në Fletoren Zyrtare.</w:t>
      </w:r>
    </w:p>
    <w:p w:rsidR="00C51734" w:rsidRPr="00994358" w:rsidRDefault="00C51734" w:rsidP="00C51734">
      <w:pPr>
        <w:pStyle w:val="Paragrafi"/>
        <w:rPr>
          <w:lang w:val="sq-AL"/>
        </w:rPr>
      </w:pPr>
    </w:p>
    <w:p w:rsidR="00C51734" w:rsidRDefault="00C51734" w:rsidP="00C51734">
      <w:pPr>
        <w:pStyle w:val="Autoriteti"/>
      </w:pPr>
      <w:r>
        <w:t>Kryeministri</w:t>
      </w:r>
    </w:p>
    <w:p w:rsidR="00C51734" w:rsidRDefault="00C51734" w:rsidP="00C51734">
      <w:pPr>
        <w:pStyle w:val="AutoritetiEmer"/>
      </w:pPr>
      <w:r>
        <w:t>Sali Berisha</w:t>
      </w:r>
    </w:p>
    <w:p w:rsidR="00C51734" w:rsidRDefault="00C51734" w:rsidP="00C51734">
      <w:pPr>
        <w:pStyle w:val="Paragrafi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591175" cy="8401050"/>
            <wp:effectExtent l="0" t="0" r="9525" b="0"/>
            <wp:docPr id="1" name="Picture 1" descr="tab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62625" cy="8324850"/>
            <wp:effectExtent l="0" t="0" r="9525" b="0"/>
            <wp:docPr id="2" name="Picture 2" descr="tab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lastRenderedPageBreak/>
        <w:drawing>
          <wp:inline distT="0" distB="0" distL="0" distR="0">
            <wp:extent cx="3019425" cy="8886825"/>
            <wp:effectExtent l="0" t="0" r="9525" b="9525"/>
            <wp:docPr id="3" name="Picture 3" descr="tab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A21272" w:rsidP="00C51734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600700" cy="8458200"/>
            <wp:effectExtent l="0" t="0" r="0" b="0"/>
            <wp:docPr id="4" name="Picture 4" descr="tab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drawing>
          <wp:inline distT="0" distB="0" distL="0" distR="0">
            <wp:extent cx="5762625" cy="8286750"/>
            <wp:effectExtent l="0" t="0" r="9525" b="0"/>
            <wp:docPr id="5" name="Picture 5" descr="tab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drawing>
          <wp:inline distT="0" distB="0" distL="0" distR="0">
            <wp:extent cx="2028825" cy="8886825"/>
            <wp:effectExtent l="0" t="0" r="9525" b="9525"/>
            <wp:docPr id="6" name="Picture 6" descr="tab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drawing>
          <wp:inline distT="0" distB="0" distL="0" distR="0">
            <wp:extent cx="5943600" cy="5210175"/>
            <wp:effectExtent l="0" t="0" r="0" b="9525"/>
            <wp:docPr id="7" name="Picture 7" descr="tab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drawing>
          <wp:inline distT="0" distB="0" distL="0" distR="0">
            <wp:extent cx="5762625" cy="8105775"/>
            <wp:effectExtent l="0" t="0" r="9525" b="9525"/>
            <wp:docPr id="8" name="Picture 8" descr="tab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drawing>
          <wp:inline distT="0" distB="0" distL="0" distR="0">
            <wp:extent cx="5762625" cy="8143875"/>
            <wp:effectExtent l="0" t="0" r="9525" b="9525"/>
            <wp:docPr id="9" name="Picture 9" descr="tab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A21272" w:rsidP="00C51734">
      <w:pPr>
        <w:pStyle w:val="Figure"/>
      </w:pPr>
      <w:r>
        <w:rPr>
          <w:noProof/>
        </w:rPr>
        <w:drawing>
          <wp:inline distT="0" distB="0" distL="0" distR="0">
            <wp:extent cx="5762625" cy="7991475"/>
            <wp:effectExtent l="0" t="0" r="9525" b="9525"/>
            <wp:docPr id="10" name="Picture 10" descr="tab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Default="00C51734" w:rsidP="00C51734">
      <w:pPr>
        <w:pStyle w:val="Figure"/>
      </w:pPr>
    </w:p>
    <w:p w:rsidR="00C51734" w:rsidRPr="006F3580" w:rsidRDefault="00C51734" w:rsidP="00C51734">
      <w:pPr>
        <w:pStyle w:val="Paragrafi"/>
        <w:rPr>
          <w:lang w:val="sq-AL"/>
        </w:rPr>
      </w:pPr>
    </w:p>
    <w:sectPr w:rsidR="00C51734" w:rsidRPr="006F3580" w:rsidSect="00C51734">
      <w:footerReference w:type="even" r:id="rId16"/>
      <w:footerReference w:type="default" r:id="rId1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53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1272">
      <w:r>
        <w:separator/>
      </w:r>
    </w:p>
  </w:endnote>
  <w:endnote w:type="continuationSeparator" w:id="0">
    <w:p w:rsidR="00000000" w:rsidRDefault="00A2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734" w:rsidRDefault="00C51734" w:rsidP="00C5173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1734" w:rsidRDefault="00C51734" w:rsidP="00C5173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1734" w:rsidRDefault="00C51734" w:rsidP="00C5173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1272">
      <w:rPr>
        <w:rStyle w:val="PageNumber"/>
        <w:noProof/>
      </w:rPr>
      <w:t>5400</w:t>
    </w:r>
    <w:r>
      <w:rPr>
        <w:rStyle w:val="PageNumber"/>
      </w:rPr>
      <w:fldChar w:fldCharType="end"/>
    </w:r>
  </w:p>
  <w:p w:rsidR="00C51734" w:rsidRDefault="00C51734" w:rsidP="00C5173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1272">
      <w:r>
        <w:separator/>
      </w:r>
    </w:p>
  </w:footnote>
  <w:footnote w:type="continuationSeparator" w:id="0">
    <w:p w:rsidR="00000000" w:rsidRDefault="00A21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1734"/>
    <w:rsid w:val="000178C2"/>
    <w:rsid w:val="00A21272"/>
    <w:rsid w:val="00C5173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9D12A5-93C9-4688-87D5-01575E42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734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5173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5173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5173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51734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C51734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C5173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5173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5173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5173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5173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51734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C51734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C51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