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60F" w:rsidRPr="00314FF4" w:rsidRDefault="001F360F" w:rsidP="001F360F">
      <w:pPr>
        <w:pStyle w:val="Akti"/>
        <w:keepNext w:val="0"/>
        <w:rPr>
          <w:rFonts w:eastAsia="MS Mincho"/>
          <w:lang w:val="it-IT" w:eastAsia="ja-JP"/>
        </w:rPr>
      </w:pPr>
      <w:bookmarkStart w:id="0" w:name="_GoBack"/>
      <w:bookmarkEnd w:id="0"/>
      <w:r w:rsidRPr="00314FF4">
        <w:rPr>
          <w:lang w:val="it-IT" w:eastAsia="ja-JP"/>
        </w:rPr>
        <w:t>Vendim</w:t>
      </w:r>
    </w:p>
    <w:p w:rsidR="001F360F" w:rsidRPr="00314FF4" w:rsidRDefault="001F360F" w:rsidP="001F360F">
      <w:pPr>
        <w:pStyle w:val="NumriData"/>
        <w:keepNext w:val="0"/>
        <w:rPr>
          <w:lang w:val="it-IT" w:eastAsia="ja-JP"/>
        </w:rPr>
      </w:pPr>
      <w:r w:rsidRPr="00314FF4">
        <w:rPr>
          <w:lang w:val="it-IT" w:eastAsia="ja-JP"/>
        </w:rPr>
        <w:t>Nr.901, datë 19.12.2007</w:t>
      </w: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Titulli"/>
        <w:keepNext w:val="0"/>
        <w:rPr>
          <w:rFonts w:eastAsia="MS Mincho"/>
          <w:lang w:val="it-IT" w:eastAsia="ja-JP"/>
        </w:rPr>
      </w:pPr>
      <w:r>
        <w:rPr>
          <w:lang w:val="it-IT" w:eastAsia="ja-JP"/>
        </w:rPr>
        <w:t>Për miratimin e strukturës dhe të niveleve të pagave të nëpunësve civilë/nëpunësve, nëpun</w:t>
      </w:r>
      <w:r w:rsidRPr="00C572AF">
        <w:t>ësve</w:t>
      </w:r>
      <w:r>
        <w:rPr>
          <w:lang w:val="it-IT" w:eastAsia="ja-JP"/>
        </w:rPr>
        <w:t xml:space="preserve"> të kabineteve dhe punonjësve mbështetës në administratën e disa institucioneve të pavarura</w:t>
      </w: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  <w:r>
        <w:rPr>
          <w:lang w:val="it-IT" w:eastAsia="ja-JP"/>
        </w:rPr>
        <w:t>Në mbështetje të nenit 100 të Kushtetutës, të neneve 18 e 29 të ligjit nr.8549, datë 11.11.1999 “Statusi i nëpunësit civil”, të nenit 5/1 të ligjit nr.8487, datë 13.5.1999 “Për kompetencat për caktimin e pagave të punës”, të ligjit nr.9584, datë 17.7.2006 “Për pagat, shpërblimet dhe strukturat e institucioneve të pavarura kushtetuese dhe të institucioneve të tjera të pavarura, të krijuara me ligj” dhe të ligjit nr.9645, datë 27.11.2006 “Për Buxhetin e Shtetit të vitit 2007”, të ndryshuar, me propozimin e Ministrit të Brendshëm dhe të Ministrit të Financave, Këshilli i Ministrave</w:t>
      </w: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Pr="00314FF4" w:rsidRDefault="001F360F" w:rsidP="001F360F">
      <w:pPr>
        <w:pStyle w:val="VENDOSI"/>
        <w:keepNext w:val="0"/>
        <w:rPr>
          <w:rFonts w:eastAsia="MS Mincho"/>
          <w:lang w:val="it-IT" w:eastAsia="ja-JP"/>
        </w:rPr>
      </w:pPr>
      <w:r w:rsidRPr="00314FF4">
        <w:rPr>
          <w:lang w:val="it-IT" w:eastAsia="ja-JP"/>
        </w:rPr>
        <w:t>Vendosi:</w:t>
      </w: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  <w:r>
        <w:rPr>
          <w:lang w:val="it-IT" w:eastAsia="ja-JP"/>
        </w:rPr>
        <w:t>1. Zbatimin e këtij vendimi, për këto institucione të pavarura, të krijuara me ligj:</w:t>
      </w:r>
    </w:p>
    <w:p w:rsidR="001F360F" w:rsidRPr="001F360F" w:rsidRDefault="001F360F" w:rsidP="001F360F">
      <w:pPr>
        <w:pStyle w:val="Paragrafi"/>
        <w:rPr>
          <w:lang w:val="it-IT" w:eastAsia="ja-JP"/>
        </w:rPr>
      </w:pPr>
      <w:r w:rsidRPr="001F360F">
        <w:rPr>
          <w:lang w:val="it-IT" w:eastAsia="ja-JP"/>
        </w:rPr>
        <w:t>a) Komisionin e Shërbimit Civil;</w:t>
      </w:r>
    </w:p>
    <w:p w:rsidR="001F360F" w:rsidRPr="001F360F" w:rsidRDefault="001F360F" w:rsidP="001F360F">
      <w:pPr>
        <w:pStyle w:val="Paragrafi"/>
        <w:rPr>
          <w:lang w:val="it-IT" w:eastAsia="ja-JP"/>
        </w:rPr>
      </w:pPr>
      <w:r w:rsidRPr="001F360F">
        <w:rPr>
          <w:lang w:val="it-IT" w:eastAsia="ja-JP"/>
        </w:rPr>
        <w:t>b) Autoritetin e Konkurrencës;</w:t>
      </w:r>
    </w:p>
    <w:p w:rsidR="001F360F" w:rsidRPr="001F360F" w:rsidRDefault="001F360F" w:rsidP="001F360F">
      <w:pPr>
        <w:pStyle w:val="Paragrafi"/>
        <w:rPr>
          <w:lang w:val="it-IT" w:eastAsia="ja-JP"/>
        </w:rPr>
      </w:pPr>
      <w:r w:rsidRPr="001F360F">
        <w:rPr>
          <w:lang w:val="it-IT" w:eastAsia="ja-JP"/>
        </w:rPr>
        <w:t>c) Inspektoratin e Lartë të Kontrollit dhe Deklarimit të Pasurive;</w:t>
      </w:r>
    </w:p>
    <w:p w:rsidR="001F360F" w:rsidRPr="001F360F" w:rsidRDefault="001F360F" w:rsidP="001F360F">
      <w:pPr>
        <w:pStyle w:val="Paragrafi"/>
        <w:rPr>
          <w:lang w:val="it-IT" w:eastAsia="ja-JP"/>
        </w:rPr>
      </w:pPr>
      <w:r w:rsidRPr="001F360F">
        <w:rPr>
          <w:lang w:val="it-IT" w:eastAsia="ja-JP"/>
        </w:rPr>
        <w:t>ç) Autoritetin e Mbikëqyrjes Financiare;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d) Entin Rregullator të Telekomunikacioneve;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 xml:space="preserve">dh) Entin Rregullator të </w:t>
      </w:r>
      <w:r w:rsidRPr="001F360F">
        <w:rPr>
          <w:lang w:val="es-CL"/>
        </w:rPr>
        <w:t>Energjisë</w:t>
      </w:r>
      <w:r w:rsidRPr="001F360F">
        <w:rPr>
          <w:lang w:val="es-CL" w:eastAsia="ja-JP"/>
        </w:rPr>
        <w:t>;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e) Entin Rregullator të Sektorit të Furnizimit me Ujë dhe Largimit e Përpunimit të Ujërave të Ndotura;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ë) Këshillin Kombëtar të Radios dhe Televizionit;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f) Avokatin e Prokurimeve.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2. Struktura dhe nivelet e pagave për nëpunësit civilë/nëpunësit e institucioneve të përmendura në pikën 1 të këtij vendimi, janë sipas lidhjes nr.1, që i bashkëlidhet vendimit dhe është pjesë përbërëse e tij.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3. Paga e grupit (kolona 2) e lidhjes nr.1, diplomë e shkollës së lartë, është 10 050 lekë.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4. Shtesa për vjetërsi në punë (kolona 3) e lidhjes nr.1, jepet në masën 2 për qind pas çdo viti pune, deri në 25 vjet dhe llogaritet mbi pagën e grupit.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5. Shtesa për kualifikim (kolona 4) e lidhjes nr.1, përcaktohet, si më poshtë vijon: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Nëpunësit civilë/nëpunësit, në administratën e institucioneve të përmendura në pikën 1 të këtij vendimi, përfitojnë shtesë për kualifikim, për gradën apo titullin shkencor, sipas lidhjes nr.3, që i bashkëlidhet vendimit dhe është pjesë përbërëse e tij.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Kriteret për përfitimin e shtesës janë: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a) për nëpunësit civilë/nëpunësit kjo shtesë jepet në kushtet e përputhjes së kualifikimit, gradës apo titullit shkencor, me përshkrimin e pozicionit të punës, pas miratimit, rast pas rasti, nga njësitë e personelit;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b) në rastin kur nëpunësi civil/nëpunësi ka kualifikim, gradë apo titull më të lartë se ai i përcaktuar për pozicionin e punës, sipas lidhjes nr.3, që i bashkëlidhet vendimit, ai përfiton vetëm shtesën e përcaktuar për pozicion;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c) në rastin kur nëpunësi civil/nëpunësi ka kualifikim, gradë apo titull më të ulët se ai i përcaktuar për pozicionin e punës, sipas lidhjes nr.3, që i bashkëlidhet vendimit, ai përfiton shtesë, në përputhje me kualifikimin, gradën apo titullin që ka;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ç) në çdo rast si më sipër, pavarësisht nga kualifikimi, grada apo titulli, nëpunësit civilë/nëpunësit përfitojnë vetëm shtesën për gradën apo titullin shkencor më të lartë që kanë.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6. Shtesa për pozicion është sipas kolonës 5 të lidhjes nr.1.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7. Kategorizimi i pagave për pozicionet e punës me emërtesë të njëjtë përcaktohet në kuadër të miratimit të strukturës dhe organikës së secilit institucion, me vendim të Kuvendit.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8. Kategorizimi për pozicionet e veçanta të jetë sipas lidhjes nr.2, që i bashkëlidhet këtij vendimi dhe është pjesë përbërëse e tij.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 xml:space="preserve">9. Struktura dhe nivelet e pagave për nëpunësit e kabineteve të institucioneve të përmendura </w:t>
      </w:r>
      <w:r w:rsidRPr="001F360F">
        <w:rPr>
          <w:lang w:val="es-CL" w:eastAsia="ja-JP"/>
        </w:rPr>
        <w:lastRenderedPageBreak/>
        <w:t>në pikën 1 të këtij vendimi përcaktohen, si më poshtë vijon: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a) drejtori i kabinetit barazohet në pagë me nëpunësin civil, të kategorisë II-a;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b) këshilltari dhe zëdhënësi barazohen në pagë me nëpunësin civil, të kategorisë II-b;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c) paga e pozicionit “Sekretar i titullarit”, “Sekretar i organit kolegjial drejtues” është 47 500 lekë në muaj. Shtesa për vjetërsi në punë për pozicionin “Sekretar i titullarit”, “Sekretar i organit kolegjial drejtues”, jepet në masën 2 për qind pas çdo viti pune, deri në 25 vjet dhe llogaritet mbi vlerën 10 050 lekë.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10. Shtesa për kualifikimin, gradën apo titullin shkencor, e përcaktuar sipas lidhjes nr.3, që i bashkëlidhet këtij vendimi, si dhe të kritereve të përcaktuara në pikat 5/a, 5/b, 5/c dhe 5/ç, zbatohet edhe për titullarët/anëtarët e organeve kolegjiale drejtuese, me kohë të plotë dhe nëpunësit e kabineteve.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Institucionet e përmendura në pikën 1, për aplikimin e shtesës për kualifikim, duhet të zbatojnë rregullat e udhëzimit të përbashkët të Ministrisë së Arsimit dhe Shkencës, Ministrisë së Financave dhe Departamentit të Administratës Publike.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11. “Specialistët”, “Përgjegjësit e sektorit” apo “Drejtorët e drejtorive”, të cilët punojnë në pozicione, që lidhen me procesin e informatizimit të veprimtarisë së administratës publike dhe kërkojnë, në mënyrë të detyrueshme, arsimin e lartë në degët “Inxhinieri elektronike” apo “Informatikë“, përfitojnë një shtesë “Për kushte pune”, prej 15 000 lekësh mbi pagën mujore të kategorisë përkatëse, pas miratimit, rast pas rasti, nga njësitë e personelit të çdo institucioni.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12. Nëpunësit e kabineteve dhe nëpunësit civilë/nëpunësit e institucioneve të përmendura në pikën 1 të këtij vendimi, nuk përfitojnë shtesa të tjera mbi pagë, të përcaktuara me akte të tjera nënligjore të Këshillit të Ministrave.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13. Për punonjësit mbështetës të institucioneve, që përcaktohen në pikën 1 të këtij vendimi, zbatohet lidhja II/M “Paga bazë për punonjësit e ministrive, institucioneve të tjera qendrore dhe prefekturave” dhe lidhja II-5 “Niveli i pagave për punonjësit e ministrive, institucioneve të tjera qendrore dhe prefekturave”, që i bashkëlidhen vendimit nr.726, datë 21.12.2000 të Këshillit të Ministrave “Për pagat e punonjësve të institucioneve buxhetore”, të ndryshuar.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Ky vendim hyn në fuqi pas botimit në Fletoren Zyrtare dhe i shtrin efektet financiare, si më poshtë vijon:</w:t>
      </w:r>
    </w:p>
    <w:p w:rsidR="001F360F" w:rsidRDefault="001F360F" w:rsidP="001F360F">
      <w:pPr>
        <w:pStyle w:val="Paragrafi"/>
        <w:rPr>
          <w:lang w:val="it-IT" w:eastAsia="ja-JP"/>
        </w:rPr>
      </w:pPr>
      <w:r>
        <w:rPr>
          <w:lang w:val="it-IT" w:eastAsia="ja-JP"/>
        </w:rPr>
        <w:t>a) Për Avokatin e Prokurimeve, nga data e emërimit të nëpunësve/punonjësve;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  <w:r w:rsidRPr="001F360F">
        <w:rPr>
          <w:lang w:val="es-CL" w:eastAsia="ja-JP"/>
        </w:rPr>
        <w:t>b) Për institucionet e tjera, pas hyrjes në fuqi të vendimit.</w:t>
      </w:r>
    </w:p>
    <w:p w:rsidR="001F360F" w:rsidRPr="001F360F" w:rsidRDefault="001F360F" w:rsidP="001F360F">
      <w:pPr>
        <w:pStyle w:val="Paragrafi"/>
        <w:rPr>
          <w:lang w:val="es-CL" w:eastAsia="ja-JP"/>
        </w:rPr>
      </w:pPr>
    </w:p>
    <w:p w:rsidR="001F360F" w:rsidRDefault="001F360F" w:rsidP="001F360F">
      <w:pPr>
        <w:pStyle w:val="Autoriteti"/>
        <w:keepNext w:val="0"/>
        <w:rPr>
          <w:rFonts w:eastAsia="MS Mincho"/>
          <w:lang w:eastAsia="ja-JP"/>
        </w:rPr>
      </w:pPr>
      <w:r>
        <w:rPr>
          <w:lang w:eastAsia="ja-JP"/>
        </w:rPr>
        <w:t>Kryeministri</w:t>
      </w:r>
    </w:p>
    <w:p w:rsidR="001F360F" w:rsidRDefault="001F360F" w:rsidP="001F360F">
      <w:pPr>
        <w:pStyle w:val="AutoritetiEmer"/>
        <w:rPr>
          <w:lang w:eastAsia="ja-JP"/>
        </w:rPr>
      </w:pPr>
      <w:r>
        <w:rPr>
          <w:lang w:eastAsia="ja-JP"/>
        </w:rPr>
        <w:t>Sali Berisha</w:t>
      </w: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680695" w:rsidP="001F360F">
      <w:pPr>
        <w:pStyle w:val="Paragrafi"/>
        <w:rPr>
          <w:lang w:val="it-IT" w:eastAsia="ja-JP"/>
        </w:rPr>
      </w:pPr>
      <w:r>
        <w:rPr>
          <w:noProof/>
        </w:rPr>
        <w:lastRenderedPageBreak/>
        <w:drawing>
          <wp:inline distT="0" distB="0" distL="0" distR="0">
            <wp:extent cx="5762625" cy="6829425"/>
            <wp:effectExtent l="0" t="0" r="9525" b="9525"/>
            <wp:docPr id="1" name="Picture 1" descr="vendim 90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 901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680695" w:rsidP="001F360F">
      <w:pPr>
        <w:pStyle w:val="Paragrafi"/>
        <w:rPr>
          <w:lang w:val="it-IT" w:eastAsia="ja-JP"/>
        </w:rPr>
      </w:pPr>
      <w:r>
        <w:rPr>
          <w:noProof/>
        </w:rPr>
        <w:lastRenderedPageBreak/>
        <w:drawing>
          <wp:inline distT="0" distB="0" distL="0" distR="0">
            <wp:extent cx="5753100" cy="5457825"/>
            <wp:effectExtent l="0" t="0" r="0" b="9525"/>
            <wp:docPr id="2" name="Picture 2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680695" w:rsidP="001F360F">
      <w:pPr>
        <w:pStyle w:val="Paragrafi"/>
        <w:rPr>
          <w:lang w:val="it-IT" w:eastAsia="ja-JP"/>
        </w:rPr>
      </w:pPr>
      <w:r>
        <w:rPr>
          <w:noProof/>
        </w:rPr>
        <w:drawing>
          <wp:inline distT="0" distB="0" distL="0" distR="0">
            <wp:extent cx="5753100" cy="6762750"/>
            <wp:effectExtent l="0" t="0" r="0" b="0"/>
            <wp:docPr id="3" name="Picture 3" descr="ta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76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p w:rsidR="001F360F" w:rsidRDefault="001F360F" w:rsidP="001F360F">
      <w:pPr>
        <w:pStyle w:val="Paragrafi"/>
        <w:rPr>
          <w:lang w:val="it-IT" w:eastAsia="ja-JP"/>
        </w:rPr>
      </w:pPr>
    </w:p>
    <w:sectPr w:rsidR="001F360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360F"/>
    <w:rsid w:val="000178C2"/>
    <w:rsid w:val="001F360F"/>
    <w:rsid w:val="0068069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685558-B7D5-474F-A9EA-3EB7FF788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F360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1F360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1F360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F360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1F360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1F360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1F360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1F360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F36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1F360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2019-04-03T13:22:00Z</dcterms:created>
  <dcterms:modified xsi:type="dcterms:W3CDTF">2019-04-03T13:22:00Z</dcterms:modified>
</cp:coreProperties>
</file>