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3F6" w:rsidRPr="00314FF4" w:rsidRDefault="004373F6" w:rsidP="004373F6">
      <w:pPr>
        <w:pStyle w:val="Akti"/>
        <w:keepNext w:val="0"/>
        <w:rPr>
          <w:rFonts w:eastAsia="MS Mincho"/>
          <w:lang w:val="it-IT" w:eastAsia="ja-JP"/>
        </w:rPr>
      </w:pPr>
      <w:bookmarkStart w:id="0" w:name="_GoBack"/>
      <w:bookmarkEnd w:id="0"/>
      <w:r w:rsidRPr="00314FF4">
        <w:rPr>
          <w:lang w:val="it-IT" w:eastAsia="ja-JP"/>
        </w:rPr>
        <w:t>Vendim</w:t>
      </w:r>
    </w:p>
    <w:p w:rsidR="004373F6" w:rsidRPr="00314FF4" w:rsidRDefault="004373F6" w:rsidP="004373F6">
      <w:pPr>
        <w:pStyle w:val="NumriData"/>
        <w:keepNext w:val="0"/>
        <w:rPr>
          <w:lang w:val="it-IT" w:eastAsia="ja-JP"/>
        </w:rPr>
      </w:pPr>
      <w:r w:rsidRPr="00314FF4">
        <w:rPr>
          <w:lang w:val="it-IT" w:eastAsia="ja-JP"/>
        </w:rPr>
        <w:t>Nr.909, datë 29.12.2007</w:t>
      </w:r>
    </w:p>
    <w:p w:rsidR="004373F6" w:rsidRPr="00314FF4" w:rsidRDefault="004373F6" w:rsidP="004373F6">
      <w:pPr>
        <w:pStyle w:val="Paragrafi"/>
        <w:rPr>
          <w:lang w:val="it-IT" w:eastAsia="ja-JP"/>
        </w:rPr>
      </w:pPr>
    </w:p>
    <w:p w:rsidR="004373F6" w:rsidRPr="00314FF4" w:rsidRDefault="004373F6" w:rsidP="004373F6">
      <w:pPr>
        <w:pStyle w:val="Titulli"/>
        <w:keepNext w:val="0"/>
        <w:rPr>
          <w:rFonts w:eastAsia="MS Mincho"/>
          <w:lang w:val="it-IT" w:eastAsia="ja-JP"/>
        </w:rPr>
      </w:pPr>
      <w:r w:rsidRPr="00314FF4">
        <w:rPr>
          <w:lang w:val="it-IT" w:eastAsia="ja-JP"/>
        </w:rPr>
        <w:t>Për shlyerjen e detyrimeve të kontributeve të sigurimeve shoqërore dhe energjisë elektrike të ndërmarrjeve publike</w:t>
      </w:r>
    </w:p>
    <w:p w:rsidR="004373F6" w:rsidRPr="00314FF4" w:rsidRDefault="004373F6" w:rsidP="004373F6">
      <w:pPr>
        <w:pStyle w:val="Paragrafi"/>
        <w:rPr>
          <w:lang w:val="it-IT" w:eastAsia="ja-JP"/>
        </w:rPr>
      </w:pPr>
    </w:p>
    <w:p w:rsidR="004373F6" w:rsidRPr="004373F6" w:rsidRDefault="004373F6" w:rsidP="004373F6">
      <w:pPr>
        <w:pStyle w:val="BazLigjPropozues"/>
        <w:rPr>
          <w:lang w:val="it-IT" w:eastAsia="ja-JP"/>
        </w:rPr>
      </w:pPr>
      <w:r w:rsidRPr="004373F6">
        <w:rPr>
          <w:lang w:val="it-IT" w:eastAsia="ja-JP"/>
        </w:rPr>
        <w:t>Në mbështetje të nenit 100 të Kushtetutës dhe të nenit 8 të aktit normativ nr.2, datë 19.12.2007  “Për disa ndryshime në ligjin nr.9645, datë 27.11.2006 “Për Buxhetin e Shtetit të vitit 2007”, të ndryshuar me propozimin e Ministrit të Financave, Ministrit të Punëve Publike, Transportit dhe Telekomunikacionit, Ministrit të Ekonomisë, Tregtisë dhe Energjetikës dhe të Ministrit të Bujqësisë, Ushqimit dhe Mbrojtjes së Konsumatorit, Këshilli i Ministrave</w:t>
      </w:r>
    </w:p>
    <w:p w:rsidR="004373F6" w:rsidRPr="00314FF4" w:rsidRDefault="004373F6" w:rsidP="004373F6">
      <w:pPr>
        <w:pStyle w:val="Paragrafi"/>
        <w:rPr>
          <w:lang w:val="it-IT" w:eastAsia="ja-JP"/>
        </w:rPr>
      </w:pPr>
    </w:p>
    <w:p w:rsidR="004373F6" w:rsidRPr="00E65001" w:rsidRDefault="004373F6" w:rsidP="004373F6">
      <w:pPr>
        <w:pStyle w:val="VENDOSI"/>
        <w:keepNext w:val="0"/>
        <w:rPr>
          <w:lang w:val="it-IT" w:eastAsia="ja-JP"/>
        </w:rPr>
      </w:pPr>
      <w:r w:rsidRPr="00E65001">
        <w:rPr>
          <w:lang w:val="it-IT" w:eastAsia="ja-JP"/>
        </w:rPr>
        <w:t>Vendosi:</w:t>
      </w:r>
    </w:p>
    <w:p w:rsidR="004373F6" w:rsidRDefault="004373F6" w:rsidP="004373F6">
      <w:pPr>
        <w:pStyle w:val="Paragrafi"/>
        <w:rPr>
          <w:lang w:val="it-IT" w:eastAsia="ja-JP"/>
        </w:rPr>
      </w:pPr>
    </w:p>
    <w:p w:rsidR="004373F6" w:rsidRDefault="004373F6" w:rsidP="004373F6">
      <w:pPr>
        <w:pStyle w:val="Paragrafi"/>
        <w:rPr>
          <w:lang w:val="it-IT" w:eastAsia="ja-JP"/>
        </w:rPr>
      </w:pPr>
      <w:r>
        <w:rPr>
          <w:lang w:val="it-IT" w:eastAsia="ja-JP"/>
        </w:rPr>
        <w:t>1. Shlyerjen e detyrimeve të ndërmarrjeve publike në shumën 1 307 000 000 (një miliard e treqind e shtatë milionë) lekë për:</w:t>
      </w:r>
    </w:p>
    <w:p w:rsidR="004373F6" w:rsidRDefault="004373F6" w:rsidP="004373F6">
      <w:pPr>
        <w:pStyle w:val="Paragrafi"/>
        <w:rPr>
          <w:lang w:val="it-IT" w:eastAsia="ja-JP"/>
        </w:rPr>
      </w:pPr>
      <w:r>
        <w:rPr>
          <w:lang w:val="it-IT" w:eastAsia="ja-JP"/>
        </w:rPr>
        <w:t>a) 863 667 000 lekë për kontributet e sigurimeve shoqërore;</w:t>
      </w:r>
    </w:p>
    <w:p w:rsidR="004373F6" w:rsidRDefault="004373F6" w:rsidP="004373F6">
      <w:pPr>
        <w:pStyle w:val="Paragrafi"/>
        <w:rPr>
          <w:lang w:val="en-GB" w:eastAsia="ja-JP"/>
        </w:rPr>
      </w:pPr>
      <w:r>
        <w:rPr>
          <w:lang w:val="en-GB" w:eastAsia="ja-JP"/>
        </w:rPr>
        <w:t>b) 443 333 000 lekë për energjinë elektrike.</w:t>
      </w:r>
    </w:p>
    <w:p w:rsidR="004373F6" w:rsidRDefault="004373F6" w:rsidP="004373F6">
      <w:pPr>
        <w:pStyle w:val="Paragrafi"/>
        <w:rPr>
          <w:lang w:val="en-GB" w:eastAsia="ja-JP"/>
        </w:rPr>
      </w:pPr>
      <w:r>
        <w:rPr>
          <w:lang w:val="en-GB" w:eastAsia="ja-JP"/>
        </w:rPr>
        <w:t>2. Shuma prej 1 307 000 000 lekësh t’u ndahet ministrive të mëposhtme:</w:t>
      </w:r>
    </w:p>
    <w:p w:rsidR="004373F6" w:rsidRDefault="004373F6" w:rsidP="004373F6">
      <w:pPr>
        <w:pStyle w:val="Paragrafi"/>
        <w:rPr>
          <w:lang w:val="en-GB" w:eastAsia="ja-JP"/>
        </w:rPr>
      </w:pPr>
      <w:r>
        <w:rPr>
          <w:lang w:val="en-GB" w:eastAsia="ja-JP"/>
        </w:rPr>
        <w:t>a) Ministrisë së Punëve Publike, Transportit dhe Telekomunikacionit, në buxhetin e miratuar për vitin 2007, zëri “Shpenzime korrente”, fondi prej 858 237 000 (tetëqind e pesëdhjetë e tetë milionë e dyqind e tridhjetë e shtatë mijë) lekësh për: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i) shlyerjen e detyrimeve të kontributeve të sigurimeve shoqërore 414 904 000 lekë;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ii) shlyerjen e detyrimeve ndaj KESH sh.a., 443 333 000 lekë, përkatësisht sipas lidhjeve nr.2 e nr.3, që i bashkëlidhen këtij vendimi.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b) Ministrisë së Bujqësisë, Ushqimit dhe Mbrojtjes së Konsumatorit, në buxhetin e miratuar për vitin 2007, zëri “Shpenzime korrente”, fondi prej 65 982 642 (gjashtëdhjetë e pesë milionë e nëntëqind e tetëdhjetë e dy mijë e gjashtëqind e dyzet e dy) lekësh për shlyerjen e detyrimeve të sigurimeve shoqërore të drejtorive të ujërave (bordet e kullimit), sipas lidhjes nr.4, që i bashkëlidhet këtij vendimi.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c) Ministrisë së Ekonomisë, Tregtisë dhe Energjetikës, në buxhetin e miratuar për vitin 2007, zëri “Shpenzime korrente”, fondi prej 382 780 358 (treqind e tetëdhjetë e dy milionë e shtatëqind e tetëdhjetë mijë e treqind e pesëdhjetë e tetë) lekësh për shlyerjen e detyrimeve të prapambetura të sigurimeve shoqërore të ndërmarrjeve publike, sipas lidhjes nr.5, që i bashkëlidhet këtij vendimi.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3. Fondi prej 1 307 000 000 lekësh të përballohet nga fondi i kontingjencës, i planifikuar për vitin 2007.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4. Ngarkohen ministritë e përcaktuara në pikën 2 të këtij vendimi të realizojnë, brenda datës 31 dhjetor 2007, transferimin e fondeve përkatësisht në llogarinë e kontributeve të sigurimeve shoqërore dhe në llogarinë e KESH sh.a., si dhe të realizojnë kontabilizimin e tyre me institucionet e varësisë.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5. Ngarkohen Ministria e Financave, Ministria e Punëve Publike, Transportit dhe Telekomunikacionit, Ministria e Ekonomisë, Tregtisë dhe Energjetikës dhe Ministria e Bujqësisë, Ushqimit dhe Mbrojtjes së Konsumatorit për zbatimin e këtij vendimi.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  <w:r w:rsidRPr="004373F6">
        <w:rPr>
          <w:lang w:val="en-GB" w:eastAsia="ja-JP"/>
        </w:rPr>
        <w:t>Ky vendim hyn në fuqi menjëherë.</w:t>
      </w:r>
    </w:p>
    <w:p w:rsidR="004373F6" w:rsidRPr="004373F6" w:rsidRDefault="004373F6" w:rsidP="004373F6">
      <w:pPr>
        <w:pStyle w:val="Paragrafi"/>
        <w:rPr>
          <w:lang w:val="en-GB" w:eastAsia="ja-JP"/>
        </w:rPr>
      </w:pPr>
    </w:p>
    <w:p w:rsidR="004373F6" w:rsidRPr="00314FF4" w:rsidRDefault="004373F6" w:rsidP="004373F6">
      <w:pPr>
        <w:pStyle w:val="Autoriteti"/>
        <w:keepNext w:val="0"/>
        <w:rPr>
          <w:rFonts w:eastAsia="MS Mincho"/>
          <w:lang w:val="it-IT" w:eastAsia="ja-JP"/>
        </w:rPr>
      </w:pPr>
      <w:r w:rsidRPr="00314FF4">
        <w:rPr>
          <w:lang w:val="it-IT" w:eastAsia="ja-JP"/>
        </w:rPr>
        <w:t>Kryeministri</w:t>
      </w:r>
    </w:p>
    <w:p w:rsidR="004373F6" w:rsidRPr="00314FF4" w:rsidRDefault="004373F6" w:rsidP="004373F6">
      <w:pPr>
        <w:pStyle w:val="AutoritetiEmer"/>
        <w:rPr>
          <w:lang w:val="it-IT" w:eastAsia="ja-JP"/>
        </w:rPr>
      </w:pPr>
      <w:r w:rsidRPr="00314FF4">
        <w:rPr>
          <w:lang w:val="it-IT" w:eastAsia="ja-JP"/>
        </w:rPr>
        <w:t>Sali Berisha</w:t>
      </w:r>
    </w:p>
    <w:p w:rsidR="004373F6" w:rsidRDefault="004373F6" w:rsidP="004373F6">
      <w:pPr>
        <w:pStyle w:val="Paragrafi"/>
        <w:rPr>
          <w:lang w:val="it-IT" w:eastAsia="ja-JP"/>
        </w:rPr>
      </w:pPr>
    </w:p>
    <w:p w:rsidR="004373F6" w:rsidRDefault="004373F6" w:rsidP="004373F6">
      <w:pPr>
        <w:pStyle w:val="Akti"/>
        <w:keepNext w:val="0"/>
        <w:rPr>
          <w:lang w:val="it-IT"/>
        </w:rPr>
      </w:pPr>
    </w:p>
    <w:p w:rsidR="004373F6" w:rsidRDefault="004373F6" w:rsidP="004373F6">
      <w:pPr>
        <w:pStyle w:val="Akti"/>
        <w:keepNext w:val="0"/>
        <w:rPr>
          <w:lang w:val="it-IT"/>
        </w:rPr>
      </w:pPr>
    </w:p>
    <w:p w:rsidR="004373F6" w:rsidRDefault="004373F6" w:rsidP="004373F6">
      <w:pPr>
        <w:pStyle w:val="Akti"/>
        <w:keepNext w:val="0"/>
        <w:rPr>
          <w:lang w:val="it-IT"/>
        </w:rPr>
      </w:pPr>
    </w:p>
    <w:p w:rsidR="004373F6" w:rsidRDefault="004373F6" w:rsidP="004373F6">
      <w:pPr>
        <w:pStyle w:val="Akti"/>
        <w:keepNext w:val="0"/>
        <w:rPr>
          <w:lang w:val="it-IT"/>
        </w:rPr>
      </w:pPr>
    </w:p>
    <w:p w:rsidR="004373F6" w:rsidRDefault="006640B3" w:rsidP="004373F6">
      <w:pPr>
        <w:pStyle w:val="Figure"/>
      </w:pPr>
      <w:r>
        <w:rPr>
          <w:noProof/>
        </w:rPr>
        <w:lastRenderedPageBreak/>
        <w:drawing>
          <wp:inline distT="0" distB="0" distL="0" distR="0">
            <wp:extent cx="3136900" cy="8890000"/>
            <wp:effectExtent l="0" t="0" r="6350" b="6350"/>
            <wp:docPr id="1" name="Picture 2" descr="Lidhj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dhj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3F6" w:rsidRDefault="006640B3" w:rsidP="004373F6">
      <w:pPr>
        <w:pStyle w:val="Figure"/>
      </w:pPr>
      <w:r w:rsidRPr="00F90C86">
        <w:rPr>
          <w:noProof/>
        </w:rPr>
        <w:lastRenderedPageBreak/>
        <w:drawing>
          <wp:inline distT="0" distB="0" distL="0" distR="0">
            <wp:extent cx="5772150" cy="7324725"/>
            <wp:effectExtent l="0" t="0" r="0" b="9525"/>
            <wp:docPr id="2" name="Picture 2" descr="Lidhj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dhja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Pr="00F90C86" w:rsidRDefault="004373F6" w:rsidP="004373F6">
      <w:pPr>
        <w:pStyle w:val="Figure"/>
      </w:pPr>
    </w:p>
    <w:p w:rsidR="004373F6" w:rsidRDefault="004373F6" w:rsidP="004373F6">
      <w:pPr>
        <w:pStyle w:val="NeniTitull"/>
        <w:keepNext w:val="0"/>
        <w:rPr>
          <w:lang w:val="it-IT"/>
        </w:rPr>
      </w:pPr>
    </w:p>
    <w:p w:rsidR="004373F6" w:rsidRDefault="006640B3" w:rsidP="004373F6">
      <w:pPr>
        <w:pStyle w:val="NeniTitull"/>
        <w:keepNext w:val="0"/>
        <w:rPr>
          <w:lang w:val="it-IT"/>
        </w:rPr>
      </w:pPr>
      <w:r w:rsidRPr="00F90C86">
        <w:rPr>
          <w:noProof/>
          <w:lang w:val="en-US"/>
        </w:rPr>
        <w:lastRenderedPageBreak/>
        <w:drawing>
          <wp:inline distT="0" distB="0" distL="0" distR="0">
            <wp:extent cx="5753100" cy="8724900"/>
            <wp:effectExtent l="0" t="0" r="0" b="0"/>
            <wp:docPr id="3" name="Picture 3" descr="Lidhj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dhja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3F6" w:rsidRDefault="004373F6" w:rsidP="004373F6">
      <w:pPr>
        <w:rPr>
          <w:lang w:val="it-IT"/>
        </w:rPr>
      </w:pPr>
    </w:p>
    <w:p w:rsidR="004373F6" w:rsidRDefault="006640B3" w:rsidP="004373F6">
      <w:pPr>
        <w:pStyle w:val="Figure"/>
      </w:pPr>
      <w:r w:rsidRPr="00F90C86">
        <w:rPr>
          <w:noProof/>
        </w:rPr>
        <w:lastRenderedPageBreak/>
        <w:drawing>
          <wp:inline distT="0" distB="0" distL="0" distR="0">
            <wp:extent cx="5191125" cy="3429000"/>
            <wp:effectExtent l="0" t="0" r="9525" b="0"/>
            <wp:docPr id="4" name="Picture 4" descr="Lidhj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dhja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Default="004373F6" w:rsidP="004373F6">
      <w:pPr>
        <w:pStyle w:val="Figure"/>
      </w:pPr>
    </w:p>
    <w:p w:rsidR="004373F6" w:rsidRPr="00F90C86" w:rsidRDefault="006640B3" w:rsidP="004373F6">
      <w:pPr>
        <w:pStyle w:val="Figure"/>
      </w:pPr>
      <w:r w:rsidRPr="00F90C86">
        <w:rPr>
          <w:noProof/>
        </w:rPr>
        <w:drawing>
          <wp:inline distT="0" distB="0" distL="0" distR="0">
            <wp:extent cx="4267200" cy="8867775"/>
            <wp:effectExtent l="0" t="0" r="0" b="9525"/>
            <wp:docPr id="5" name="Picture 5" descr="Lidhj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dhja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73F6" w:rsidRPr="00F90C8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73F6"/>
    <w:rsid w:val="000178C2"/>
    <w:rsid w:val="004373F6"/>
    <w:rsid w:val="006640B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54872C-C8E1-428B-BC71-DD763F45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F6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373F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373F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373F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373F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373F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4373F6"/>
    <w:pPr>
      <w:widowControl w:val="0"/>
      <w:outlineLvl w:val="2"/>
    </w:pPr>
    <w:rPr>
      <w:rFonts w:ascii="CG Times" w:hAnsi="CG Times"/>
      <w:sz w:val="22"/>
    </w:rPr>
  </w:style>
  <w:style w:type="paragraph" w:customStyle="1" w:styleId="NeniTitull">
    <w:name w:val="Neni_Titull"/>
    <w:next w:val="Normal"/>
    <w:rsid w:val="004373F6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umriData">
    <w:name w:val="Numri_Data"/>
    <w:next w:val="Normal"/>
    <w:rsid w:val="004373F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373F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373F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373F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373F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373F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