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87" w:rsidRDefault="004E0387" w:rsidP="004E0387">
      <w:pPr>
        <w:pStyle w:val="Akti"/>
      </w:pPr>
      <w:bookmarkStart w:id="0" w:name="_GoBack"/>
      <w:bookmarkEnd w:id="0"/>
      <w:r>
        <w:t>Vendim</w:t>
      </w:r>
    </w:p>
    <w:p w:rsidR="004E0387" w:rsidRDefault="004E0387" w:rsidP="004E0387">
      <w:pPr>
        <w:pStyle w:val="NumriData"/>
      </w:pPr>
      <w:r>
        <w:t>Nr.7, datë 4.1.2008</w:t>
      </w:r>
    </w:p>
    <w:p w:rsidR="004E0387" w:rsidRPr="000F7FA4" w:rsidRDefault="004E0387" w:rsidP="004E0387">
      <w:pPr>
        <w:pStyle w:val="Paragrafi"/>
        <w:rPr>
          <w:sz w:val="14"/>
        </w:rPr>
      </w:pPr>
    </w:p>
    <w:p w:rsidR="004E0387" w:rsidRDefault="004E0387" w:rsidP="004E0387">
      <w:pPr>
        <w:pStyle w:val="Titulli"/>
      </w:pPr>
      <w:r>
        <w:t>Për përcaktimin e autoritetit kontraktues, për dhënien me koncesion të hidrocentralit “Ashtë", si propozim i kërkuar</w:t>
      </w:r>
    </w:p>
    <w:p w:rsidR="004E0387" w:rsidRPr="000F7FA4" w:rsidRDefault="004E0387" w:rsidP="004E0387">
      <w:pPr>
        <w:pStyle w:val="Paragrafi"/>
        <w:rPr>
          <w:sz w:val="12"/>
        </w:rPr>
      </w:pPr>
    </w:p>
    <w:p w:rsidR="004E0387" w:rsidRDefault="004E0387" w:rsidP="004E0387">
      <w:pPr>
        <w:pStyle w:val="BazLigjPropozues"/>
      </w:pPr>
      <w:r>
        <w:t>Në mbështetje të nenit 100 të Kushtetutës dhe të neneve 5 pika 3, e 16 të ligjit nr.9663, datë 18.12.2006 “Për koncesionet”, me propozimin e Ministrit të Ekonomisë, Tregtisë dhe Energjetikës, Këshilli i Ministrave</w:t>
      </w:r>
    </w:p>
    <w:p w:rsidR="004E0387" w:rsidRPr="000F7FA4" w:rsidRDefault="004E0387" w:rsidP="004E0387">
      <w:pPr>
        <w:pStyle w:val="Paragrafi"/>
        <w:rPr>
          <w:sz w:val="12"/>
        </w:rPr>
      </w:pPr>
    </w:p>
    <w:p w:rsidR="004E0387" w:rsidRDefault="004E0387" w:rsidP="004E0387">
      <w:pPr>
        <w:pStyle w:val="VENDOSI"/>
      </w:pPr>
      <w:r>
        <w:t>Vendosi:</w:t>
      </w:r>
    </w:p>
    <w:p w:rsidR="004E0387" w:rsidRPr="000F7FA4" w:rsidRDefault="004E0387" w:rsidP="004E0387">
      <w:pPr>
        <w:pStyle w:val="Paragrafi"/>
        <w:rPr>
          <w:sz w:val="12"/>
        </w:rPr>
      </w:pPr>
    </w:p>
    <w:p w:rsidR="004E0387" w:rsidRDefault="004E0387" w:rsidP="004E0387">
      <w:pPr>
        <w:pStyle w:val="Paragrafi"/>
      </w:pPr>
      <w:r>
        <w:t>1. Autoriteti kontraktues për kryerjen e procedurave ligjore, për dhënien me koncesion, të formës “BOT” (ndërtim, operim dhe transferim), si propozim i kërkuar, të hidrocentralit “Ashtë”, është Ministria e Ekonomisë, Tregtisë dhe Energjetikës.</w:t>
      </w:r>
    </w:p>
    <w:p w:rsidR="004E0387" w:rsidRDefault="004E0387" w:rsidP="004E0387">
      <w:pPr>
        <w:pStyle w:val="Paragrafi"/>
      </w:pPr>
      <w:r>
        <w:t>2. Vendimet nr.430, datë 10.12.1990 “Për miratimin e studimit të projektit të Bushatit”, nr.89, datë 19.2.1996 “Për miratimin e firmës me të cilën do të kontraktohet ndërtimi i hidrocentralit të Bushatit”, nr.586, datë 8.9.1998 “Për miratimin e firmës me të cilën do të kontraktohet ndërtimi i hidrocentralit të Bushatit dhe procedurat deri në lidhjen e kontratës” dhe nr.598, datë 13.11.2000 “Për miratimin në parim, të financimit për ndërtimin e hidrocentralit të Bushatit dhe lejimin e KESH-it për prokurim të drejtpërdrejtë me kompaninë CWE”, të Këshillit të Ministrave, shfuqizohen.</w:t>
      </w:r>
    </w:p>
    <w:p w:rsidR="004E0387" w:rsidRDefault="004E0387" w:rsidP="004E0387">
      <w:pPr>
        <w:pStyle w:val="Paragrafi"/>
      </w:pPr>
      <w:r>
        <w:t>3. Ngarkohet Ministria e Ekonomisë, Tregtisë dhe Energjetikës për zbatimin e këtij vendimi.</w:t>
      </w:r>
    </w:p>
    <w:p w:rsidR="004E0387" w:rsidRDefault="004E0387" w:rsidP="004E0387">
      <w:pPr>
        <w:pStyle w:val="Paragrafi"/>
      </w:pPr>
      <w:r>
        <w:t>Ky vendim hyn në fuqi pas botimit në Fletoren Zyrtare.</w:t>
      </w:r>
    </w:p>
    <w:p w:rsidR="004E0387" w:rsidRDefault="004E0387" w:rsidP="004E0387">
      <w:pPr>
        <w:pStyle w:val="Autoriteti"/>
      </w:pPr>
      <w:r>
        <w:t>Kryeministri</w:t>
      </w:r>
    </w:p>
    <w:p w:rsidR="004E0387" w:rsidRPr="0021774C" w:rsidRDefault="004E0387" w:rsidP="004E0387">
      <w:pPr>
        <w:pStyle w:val="AutoritetiEmer"/>
      </w:pPr>
      <w:r>
        <w:t>Sali Berisha</w:t>
      </w:r>
    </w:p>
    <w:sectPr w:rsidR="004E0387" w:rsidRPr="0021774C" w:rsidSect="004E0387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5467">
      <w:r>
        <w:separator/>
      </w:r>
    </w:p>
  </w:endnote>
  <w:endnote w:type="continuationSeparator" w:id="0">
    <w:p w:rsidR="00000000" w:rsidRDefault="0099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87" w:rsidRDefault="004E0387" w:rsidP="004E038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0387" w:rsidRDefault="004E0387" w:rsidP="004E038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87" w:rsidRPr="00023E33" w:rsidRDefault="004E0387" w:rsidP="004E0387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995467">
      <w:rPr>
        <w:rStyle w:val="PageNumber"/>
        <w:noProof/>
      </w:rPr>
      <w:t>3</w:t>
    </w:r>
    <w:r w:rsidRPr="00023E33">
      <w:rPr>
        <w:rStyle w:val="PageNumber"/>
      </w:rPr>
      <w:fldChar w:fldCharType="end"/>
    </w:r>
  </w:p>
  <w:p w:rsidR="004E0387" w:rsidRDefault="004E0387" w:rsidP="004E038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5467">
      <w:r>
        <w:separator/>
      </w:r>
    </w:p>
  </w:footnote>
  <w:footnote w:type="continuationSeparator" w:id="0">
    <w:p w:rsidR="00000000" w:rsidRDefault="00995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0387"/>
    <w:rsid w:val="000178C2"/>
    <w:rsid w:val="004E0387"/>
    <w:rsid w:val="0099546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339D66-387C-489C-861B-1A0ADADA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87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E038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E038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038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038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4E038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E038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E038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038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4E038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0387"/>
  </w:style>
  <w:style w:type="character" w:customStyle="1" w:styleId="VENDOSIChar">
    <w:name w:val="VENDOSI Char"/>
    <w:basedOn w:val="DefaultParagraphFont"/>
    <w:link w:val="VENDOSI"/>
    <w:rsid w:val="004E038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038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03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