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2D11" w:rsidRPr="003953A6" w:rsidRDefault="00412D11" w:rsidP="00412D11">
      <w:pPr>
        <w:pStyle w:val="Akti"/>
        <w:rPr>
          <w:lang w:val="it-IT"/>
        </w:rPr>
      </w:pPr>
      <w:bookmarkStart w:id="0" w:name="_GoBack"/>
      <w:bookmarkEnd w:id="0"/>
      <w:r w:rsidRPr="003953A6">
        <w:rPr>
          <w:lang w:val="it-IT"/>
        </w:rPr>
        <w:t>VENDIM</w:t>
      </w:r>
    </w:p>
    <w:p w:rsidR="00412D11" w:rsidRPr="003953A6" w:rsidRDefault="00412D11" w:rsidP="00412D11">
      <w:pPr>
        <w:pStyle w:val="NumriData"/>
        <w:rPr>
          <w:szCs w:val="22"/>
          <w:lang w:val="it-IT"/>
        </w:rPr>
      </w:pPr>
      <w:r w:rsidRPr="003953A6">
        <w:rPr>
          <w:szCs w:val="22"/>
          <w:lang w:val="it-IT"/>
        </w:rPr>
        <w:t>Nr.74, datë 28.1.2008</w:t>
      </w:r>
    </w:p>
    <w:p w:rsidR="00412D11" w:rsidRPr="003953A6" w:rsidRDefault="00412D11" w:rsidP="00412D11">
      <w:pPr>
        <w:pStyle w:val="Paragrafi"/>
        <w:rPr>
          <w:szCs w:val="22"/>
          <w:lang w:val="it-IT"/>
        </w:rPr>
      </w:pPr>
    </w:p>
    <w:p w:rsidR="00412D11" w:rsidRPr="003953A6" w:rsidRDefault="00412D11" w:rsidP="00412D11">
      <w:pPr>
        <w:pStyle w:val="Titulli"/>
        <w:rPr>
          <w:lang w:val="it-IT"/>
        </w:rPr>
      </w:pPr>
      <w:r w:rsidRPr="003953A6">
        <w:rPr>
          <w:lang w:val="it-IT"/>
        </w:rPr>
        <w:t>PËR SHPRONËSIMIN, PËR INTERES PUBLIK, TË PRONARËVE TË PASURIVE TË PALUAJTSHME, PRONË PRIVATE, QË PREKEN NGA NDËRTIMI I PUSIT TË UJIT NR.3, VRION DHE I LIDHJES ME TUBACIONIN E UJËSJELLËSIT TË NAVARICËS</w:t>
      </w:r>
    </w:p>
    <w:p w:rsidR="00412D11" w:rsidRPr="003953A6" w:rsidRDefault="00412D11" w:rsidP="00412D11">
      <w:pPr>
        <w:pStyle w:val="Paragrafi"/>
        <w:rPr>
          <w:szCs w:val="22"/>
          <w:lang w:val="it-IT"/>
        </w:rPr>
      </w:pPr>
    </w:p>
    <w:p w:rsidR="00412D11" w:rsidRPr="003953A6" w:rsidRDefault="00412D11" w:rsidP="00412D11">
      <w:pPr>
        <w:pStyle w:val="BazLigjPropozues"/>
        <w:rPr>
          <w:lang w:val="it-IT"/>
        </w:rPr>
      </w:pPr>
      <w:r w:rsidRPr="003953A6">
        <w:rPr>
          <w:lang w:val="it-IT"/>
        </w:rPr>
        <w:t>Në mbështetje të nenit 100 të Kushtetutës, të neneve 5, pika 1, 20 e 21 të ligjit nr.8561, datë 22.12.1999 “Për shpronësimet dhe marrjen në përdorim të përkohshëm të pasurisë, pronë private, për interes publik”,  dhe të nenit 8 të ligjit nr.9464, datë 28.12.2005 “Për Buxhetin e Shtetit të vitit 2006”, të ndryshuar, me propozimin e Ministrit të Punëve Publike, Transportit dhe Telekomunikacionit, Këshilli i Ministrave</w:t>
      </w:r>
    </w:p>
    <w:p w:rsidR="00412D11" w:rsidRPr="003953A6" w:rsidRDefault="00412D11" w:rsidP="00412D11">
      <w:pPr>
        <w:pStyle w:val="Paragrafi"/>
        <w:rPr>
          <w:szCs w:val="22"/>
          <w:lang w:val="it-IT"/>
        </w:rPr>
      </w:pPr>
    </w:p>
    <w:p w:rsidR="00412D11" w:rsidRPr="003953A6" w:rsidRDefault="00412D11" w:rsidP="00412D11">
      <w:pPr>
        <w:pStyle w:val="VENDOSI"/>
        <w:rPr>
          <w:lang w:val="it-IT"/>
        </w:rPr>
      </w:pPr>
      <w:r w:rsidRPr="003953A6">
        <w:rPr>
          <w:lang w:val="it-IT"/>
        </w:rPr>
        <w:t>VENDOSI:</w:t>
      </w:r>
    </w:p>
    <w:p w:rsidR="00412D11" w:rsidRPr="003953A6" w:rsidRDefault="00412D11" w:rsidP="00412D11">
      <w:pPr>
        <w:pStyle w:val="Paragrafi"/>
        <w:rPr>
          <w:szCs w:val="22"/>
          <w:lang w:val="it-IT"/>
        </w:rPr>
      </w:pPr>
      <w:r w:rsidRPr="003953A6">
        <w:rPr>
          <w:szCs w:val="22"/>
          <w:lang w:val="it-IT"/>
        </w:rPr>
        <w:t> </w:t>
      </w:r>
    </w:p>
    <w:p w:rsidR="00412D11" w:rsidRPr="003953A6" w:rsidRDefault="00412D11" w:rsidP="00412D11">
      <w:pPr>
        <w:pStyle w:val="Paragrafi"/>
        <w:rPr>
          <w:szCs w:val="22"/>
          <w:lang w:val="it-IT"/>
        </w:rPr>
      </w:pPr>
      <w:r w:rsidRPr="003953A6">
        <w:rPr>
          <w:szCs w:val="22"/>
          <w:lang w:val="it-IT"/>
        </w:rPr>
        <w:t>1. Shpronësimin, për interes publik, të pronarëve të pasurive të paluajtshme, pronë private, që preken nga ndërtimi i pusit të ujit nr.3, Vrion dhe i lidhjes me tubacionin e ujësjellësit të Navaricës.</w:t>
      </w:r>
    </w:p>
    <w:p w:rsidR="00412D11" w:rsidRPr="003953A6" w:rsidRDefault="00412D11" w:rsidP="00412D11">
      <w:pPr>
        <w:pStyle w:val="Paragrafi"/>
        <w:rPr>
          <w:szCs w:val="22"/>
          <w:lang w:val="it-IT"/>
        </w:rPr>
      </w:pPr>
      <w:r w:rsidRPr="003953A6">
        <w:rPr>
          <w:szCs w:val="22"/>
          <w:lang w:val="it-IT"/>
        </w:rPr>
        <w:t>2. Shpronësimi të bëhet në favor të bashkisë Sarandë.</w:t>
      </w:r>
    </w:p>
    <w:p w:rsidR="00412D11" w:rsidRPr="003953A6" w:rsidRDefault="00412D11" w:rsidP="00412D11">
      <w:pPr>
        <w:pStyle w:val="Paragrafi"/>
        <w:rPr>
          <w:szCs w:val="22"/>
          <w:lang w:val="it-IT"/>
        </w:rPr>
      </w:pPr>
      <w:r w:rsidRPr="003953A6">
        <w:rPr>
          <w:szCs w:val="22"/>
          <w:lang w:val="it-IT"/>
        </w:rPr>
        <w:t>3. Pronarët e pasurive të paluajtshme, pronë private, që shpronësohen, të kompensohen në vlerë të plotë, sipas masës përkatëse, që paraqitet në tabelën, që i bashkëlidhet këtij vendimi, për sipërfaqen  1600 m</w:t>
      </w:r>
      <w:r w:rsidRPr="003953A6">
        <w:rPr>
          <w:szCs w:val="22"/>
          <w:vertAlign w:val="superscript"/>
          <w:lang w:val="it-IT"/>
        </w:rPr>
        <w:t>2</w:t>
      </w:r>
      <w:r w:rsidRPr="003953A6">
        <w:rPr>
          <w:szCs w:val="22"/>
          <w:lang w:val="it-IT"/>
        </w:rPr>
        <w:t>,  tokë/arë, e vlerësuar me 320 lekë/m</w:t>
      </w:r>
      <w:r w:rsidRPr="003953A6">
        <w:rPr>
          <w:szCs w:val="22"/>
          <w:vertAlign w:val="superscript"/>
          <w:lang w:val="it-IT"/>
        </w:rPr>
        <w:t>2</w:t>
      </w:r>
      <w:r w:rsidRPr="003953A6">
        <w:rPr>
          <w:szCs w:val="22"/>
          <w:lang w:val="it-IT"/>
        </w:rPr>
        <w:t xml:space="preserve">, me vlerë shpronësimi 512 000 (pesëqind e dymbëdhjetë mijë) lekë.  </w:t>
      </w:r>
    </w:p>
    <w:p w:rsidR="00412D11" w:rsidRPr="003953A6" w:rsidRDefault="00412D11" w:rsidP="00412D11">
      <w:pPr>
        <w:pStyle w:val="Paragrafi"/>
        <w:rPr>
          <w:szCs w:val="22"/>
          <w:lang w:val="it-IT"/>
        </w:rPr>
      </w:pPr>
      <w:r w:rsidRPr="003953A6">
        <w:rPr>
          <w:szCs w:val="22"/>
          <w:lang w:val="it-IT"/>
        </w:rPr>
        <w:t xml:space="preserve"> 4. Ky fond të përballohet nga llogaria e veçantë e Ministrisë së Financave, “Fondi shpronësime”, në Bankën e Shqipërisë. </w:t>
      </w:r>
    </w:p>
    <w:p w:rsidR="00412D11" w:rsidRPr="003953A6" w:rsidRDefault="00412D11" w:rsidP="00412D11">
      <w:pPr>
        <w:pStyle w:val="Paragrafi"/>
        <w:rPr>
          <w:szCs w:val="22"/>
          <w:lang w:val="it-IT"/>
        </w:rPr>
      </w:pPr>
      <w:r w:rsidRPr="003953A6">
        <w:rPr>
          <w:szCs w:val="22"/>
          <w:lang w:val="it-IT"/>
        </w:rPr>
        <w:t> 5. Shpenzimet procedurale, në shumën 151 000 (njëqind e pesëdhjetë e një mijë) lekë, të përballohen nga bashkia Sarandë.</w:t>
      </w:r>
    </w:p>
    <w:p w:rsidR="00412D11" w:rsidRPr="003953A6" w:rsidRDefault="00412D11" w:rsidP="00412D11">
      <w:pPr>
        <w:pStyle w:val="Paragrafi"/>
        <w:rPr>
          <w:szCs w:val="22"/>
          <w:lang w:val="it-IT"/>
        </w:rPr>
      </w:pPr>
      <w:r w:rsidRPr="003953A6">
        <w:rPr>
          <w:szCs w:val="22"/>
          <w:lang w:val="it-IT"/>
        </w:rPr>
        <w:t> 6. Shpronësimi të fillojë dhe të përfundojë brenda muajit janar 2008.</w:t>
      </w:r>
    </w:p>
    <w:p w:rsidR="00412D11" w:rsidRPr="003953A6" w:rsidRDefault="00412D11" w:rsidP="00412D11">
      <w:pPr>
        <w:pStyle w:val="Paragrafi"/>
        <w:rPr>
          <w:szCs w:val="22"/>
          <w:lang w:val="it-IT"/>
        </w:rPr>
      </w:pPr>
      <w:r w:rsidRPr="003953A6">
        <w:rPr>
          <w:szCs w:val="22"/>
          <w:lang w:val="it-IT"/>
        </w:rPr>
        <w:t> 7. Bashkia Sarandë të bëjë likuidimin e pronarëve brenda afatit të parashikuar në pikën 6 të këtij vendimi.</w:t>
      </w:r>
    </w:p>
    <w:p w:rsidR="00412D11" w:rsidRPr="003953A6" w:rsidRDefault="00412D11" w:rsidP="00412D11">
      <w:pPr>
        <w:pStyle w:val="Paragrafi"/>
        <w:rPr>
          <w:szCs w:val="22"/>
          <w:lang w:val="it-IT"/>
        </w:rPr>
      </w:pPr>
      <w:r>
        <w:rPr>
          <w:szCs w:val="22"/>
          <w:lang w:val="it-IT"/>
        </w:rPr>
        <w:t> 8. Pronarët e</w:t>
      </w:r>
      <w:r w:rsidRPr="003953A6">
        <w:rPr>
          <w:szCs w:val="22"/>
          <w:lang w:val="it-IT"/>
        </w:rPr>
        <w:t xml:space="preserve"> përcaktuar në listën, që i bashkëlidhet këtij vendimi, për të cilët është bërë shënimi “Në proces regjistrimi”, të kompensohen, për efekt shpronësimi, pasi të ketë përfunduar procesi i regjistrimit dhe pasi të paraqesin dokumentacionin e plotë të pronësisë, pranë bashkisë Sarandë.</w:t>
      </w:r>
    </w:p>
    <w:p w:rsidR="00412D11" w:rsidRPr="003953A6" w:rsidRDefault="00412D11" w:rsidP="00412D11">
      <w:pPr>
        <w:pStyle w:val="Paragrafi"/>
        <w:rPr>
          <w:szCs w:val="22"/>
          <w:lang w:val="it-IT"/>
        </w:rPr>
      </w:pPr>
      <w:r w:rsidRPr="003953A6">
        <w:rPr>
          <w:szCs w:val="22"/>
          <w:lang w:val="it-IT"/>
        </w:rPr>
        <w:t> 9. Ngarkohen Ministria e Punëve Publike, Transportit dhe Telekomunikacionit dhe bashkia Sarandë për zbatimin e këtij vendimi.</w:t>
      </w:r>
    </w:p>
    <w:p w:rsidR="00412D11" w:rsidRPr="003953A6" w:rsidRDefault="00412D11" w:rsidP="00412D11">
      <w:pPr>
        <w:pStyle w:val="Paragrafi"/>
        <w:rPr>
          <w:szCs w:val="22"/>
          <w:lang w:val="it-IT"/>
        </w:rPr>
      </w:pPr>
      <w:r w:rsidRPr="003953A6">
        <w:rPr>
          <w:szCs w:val="22"/>
          <w:lang w:val="it-IT"/>
        </w:rPr>
        <w:t> Ky vendim hyn në fuqi menjëherë dhe botohet në Fletoren Zyrtare.</w:t>
      </w:r>
    </w:p>
    <w:p w:rsidR="00412D11" w:rsidRPr="003953A6" w:rsidRDefault="00412D11" w:rsidP="00412D11">
      <w:pPr>
        <w:pStyle w:val="Paragrafi"/>
        <w:rPr>
          <w:szCs w:val="22"/>
          <w:lang w:val="it-IT"/>
        </w:rPr>
      </w:pPr>
    </w:p>
    <w:p w:rsidR="00412D11" w:rsidRPr="003953A6" w:rsidRDefault="00412D11" w:rsidP="00412D11">
      <w:pPr>
        <w:pStyle w:val="Autoriteti"/>
        <w:rPr>
          <w:lang w:val="it-IT"/>
        </w:rPr>
      </w:pPr>
      <w:r w:rsidRPr="003953A6">
        <w:rPr>
          <w:lang w:val="it-IT"/>
        </w:rPr>
        <w:t>KRYEMINISTRI</w:t>
      </w:r>
    </w:p>
    <w:p w:rsidR="00412D11" w:rsidRPr="003953A6" w:rsidRDefault="00412D11" w:rsidP="00412D11">
      <w:pPr>
        <w:pStyle w:val="AutoritetiEmer"/>
        <w:rPr>
          <w:lang w:val="it-IT"/>
        </w:rPr>
      </w:pPr>
      <w:r w:rsidRPr="00412D11">
        <w:rPr>
          <w:lang w:val="it-IT"/>
        </w:rPr>
        <w:t>Sali  Berisha</w:t>
      </w:r>
    </w:p>
    <w:p w:rsidR="00412D11" w:rsidRPr="003953A6" w:rsidRDefault="00412D11" w:rsidP="00412D11">
      <w:pPr>
        <w:pStyle w:val="Paragrafi"/>
        <w:rPr>
          <w:szCs w:val="22"/>
          <w:lang w:val="it-IT"/>
        </w:rPr>
      </w:pPr>
    </w:p>
    <w:p w:rsidR="00412D11" w:rsidRPr="003953A6" w:rsidRDefault="00412D11" w:rsidP="00412D11">
      <w:pPr>
        <w:pStyle w:val="TitulliTitull"/>
        <w:rPr>
          <w:lang w:val="it-IT"/>
        </w:rPr>
      </w:pPr>
      <w:r w:rsidRPr="003953A6">
        <w:rPr>
          <w:lang w:val="it-IT"/>
        </w:rPr>
        <w:t xml:space="preserve">Lista e pronarëve të cilët do të shpronësohen si rezultat i ndërtimit të pusit të ujit nr.3 Vrion dhe lidhjes me tubacionin e ujësjellësit </w:t>
      </w:r>
    </w:p>
    <w:p w:rsidR="00412D11" w:rsidRPr="003953A6" w:rsidRDefault="00412D11" w:rsidP="00412D11">
      <w:pPr>
        <w:pStyle w:val="TitulliTitull"/>
      </w:pPr>
      <w:r w:rsidRPr="003953A6">
        <w:t>të navaricës</w:t>
      </w:r>
    </w:p>
    <w:p w:rsidR="00412D11" w:rsidRPr="003953A6" w:rsidRDefault="00412D11" w:rsidP="00412D11">
      <w:pPr>
        <w:pStyle w:val="Paragrafi"/>
        <w:rPr>
          <w:szCs w:val="22"/>
        </w:rPr>
      </w:pPr>
    </w:p>
    <w:tbl>
      <w:tblPr>
        <w:tblStyle w:val="BodyTextIndent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84"/>
        <w:gridCol w:w="1566"/>
        <w:gridCol w:w="1766"/>
        <w:gridCol w:w="1522"/>
        <w:gridCol w:w="1435"/>
        <w:gridCol w:w="1714"/>
      </w:tblGrid>
      <w:tr w:rsidR="00412D11" w:rsidRPr="00750519">
        <w:trPr>
          <w:jc w:val="center"/>
        </w:trPr>
        <w:tc>
          <w:tcPr>
            <w:tcW w:w="0" w:type="auto"/>
          </w:tcPr>
          <w:p w:rsidR="00412D11" w:rsidRPr="00750519" w:rsidRDefault="00412D11" w:rsidP="00412D11">
            <w:pPr>
              <w:pStyle w:val="Tabele"/>
              <w:jc w:val="center"/>
              <w:rPr>
                <w:b/>
                <w:sz w:val="20"/>
              </w:rPr>
            </w:pPr>
            <w:r w:rsidRPr="00750519">
              <w:rPr>
                <w:b/>
                <w:sz w:val="20"/>
              </w:rPr>
              <w:t>Nr.</w:t>
            </w:r>
          </w:p>
        </w:tc>
        <w:tc>
          <w:tcPr>
            <w:tcW w:w="0" w:type="auto"/>
          </w:tcPr>
          <w:p w:rsidR="00412D11" w:rsidRPr="00750519" w:rsidRDefault="00412D11" w:rsidP="00412D11">
            <w:pPr>
              <w:pStyle w:val="Tabele"/>
              <w:jc w:val="center"/>
              <w:rPr>
                <w:b/>
                <w:sz w:val="20"/>
              </w:rPr>
            </w:pPr>
            <w:r w:rsidRPr="00750519">
              <w:rPr>
                <w:b/>
                <w:sz w:val="20"/>
              </w:rPr>
              <w:t>Emri</w:t>
            </w:r>
          </w:p>
        </w:tc>
        <w:tc>
          <w:tcPr>
            <w:tcW w:w="0" w:type="auto"/>
          </w:tcPr>
          <w:p w:rsidR="00412D11" w:rsidRPr="00750519" w:rsidRDefault="00412D11" w:rsidP="00412D11">
            <w:pPr>
              <w:pStyle w:val="Tabele"/>
              <w:jc w:val="center"/>
              <w:rPr>
                <w:b/>
                <w:sz w:val="20"/>
              </w:rPr>
            </w:pPr>
            <w:r w:rsidRPr="00750519">
              <w:rPr>
                <w:b/>
                <w:sz w:val="20"/>
              </w:rPr>
              <w:t>Sipërfaqja tokë/arë</w:t>
            </w:r>
          </w:p>
        </w:tc>
        <w:tc>
          <w:tcPr>
            <w:tcW w:w="0" w:type="auto"/>
          </w:tcPr>
          <w:p w:rsidR="00412D11" w:rsidRPr="00750519" w:rsidRDefault="00412D11" w:rsidP="00412D11">
            <w:pPr>
              <w:pStyle w:val="Tabele"/>
              <w:jc w:val="center"/>
              <w:rPr>
                <w:b/>
                <w:sz w:val="20"/>
              </w:rPr>
            </w:pPr>
            <w:r w:rsidRPr="00750519">
              <w:rPr>
                <w:b/>
                <w:sz w:val="20"/>
              </w:rPr>
              <w:t>Çmimi l/m</w:t>
            </w:r>
            <w:r w:rsidRPr="00750519">
              <w:rPr>
                <w:b/>
                <w:sz w:val="20"/>
                <w:vertAlign w:val="superscript"/>
              </w:rPr>
              <w:t>2</w:t>
            </w:r>
          </w:p>
        </w:tc>
        <w:tc>
          <w:tcPr>
            <w:tcW w:w="0" w:type="auto"/>
          </w:tcPr>
          <w:p w:rsidR="00412D11" w:rsidRPr="00750519" w:rsidRDefault="00412D11" w:rsidP="00412D11">
            <w:pPr>
              <w:pStyle w:val="Tabele"/>
              <w:jc w:val="center"/>
              <w:rPr>
                <w:b/>
                <w:sz w:val="20"/>
              </w:rPr>
            </w:pPr>
            <w:r w:rsidRPr="00750519">
              <w:rPr>
                <w:b/>
                <w:sz w:val="20"/>
              </w:rPr>
              <w:t>Vlera në</w:t>
            </w:r>
            <w:r>
              <w:rPr>
                <w:b/>
                <w:sz w:val="20"/>
              </w:rPr>
              <w:t xml:space="preserve"> </w:t>
            </w:r>
            <w:r w:rsidRPr="00750519">
              <w:rPr>
                <w:b/>
                <w:sz w:val="20"/>
              </w:rPr>
              <w:t>lekë</w:t>
            </w:r>
          </w:p>
        </w:tc>
        <w:tc>
          <w:tcPr>
            <w:tcW w:w="0" w:type="auto"/>
          </w:tcPr>
          <w:p w:rsidR="00412D11" w:rsidRPr="00750519" w:rsidRDefault="00412D11" w:rsidP="00412D11">
            <w:pPr>
              <w:pStyle w:val="Tabele"/>
              <w:jc w:val="center"/>
              <w:rPr>
                <w:b/>
                <w:sz w:val="20"/>
              </w:rPr>
            </w:pPr>
            <w:r w:rsidRPr="00750519">
              <w:rPr>
                <w:b/>
                <w:sz w:val="20"/>
              </w:rPr>
              <w:t>Shënime</w:t>
            </w:r>
          </w:p>
        </w:tc>
      </w:tr>
      <w:tr w:rsidR="00412D11" w:rsidRPr="00750519">
        <w:trPr>
          <w:jc w:val="center"/>
        </w:trPr>
        <w:tc>
          <w:tcPr>
            <w:tcW w:w="0" w:type="auto"/>
          </w:tcPr>
          <w:p w:rsidR="00412D11" w:rsidRPr="00750519" w:rsidRDefault="00412D11" w:rsidP="00412D11">
            <w:pPr>
              <w:pStyle w:val="Tabele"/>
              <w:rPr>
                <w:sz w:val="20"/>
              </w:rPr>
            </w:pPr>
            <w:r w:rsidRPr="00750519">
              <w:rPr>
                <w:sz w:val="20"/>
              </w:rPr>
              <w:t>1</w:t>
            </w:r>
            <w:r w:rsidRPr="00750519">
              <w:rPr>
                <w:sz w:val="20"/>
              </w:rPr>
              <w:lastRenderedPageBreak/>
              <w:t>.</w:t>
            </w:r>
          </w:p>
        </w:tc>
        <w:tc>
          <w:tcPr>
            <w:tcW w:w="0" w:type="auto"/>
          </w:tcPr>
          <w:p w:rsidR="00412D11" w:rsidRPr="00750519" w:rsidRDefault="00412D11" w:rsidP="00412D11">
            <w:pPr>
              <w:pStyle w:val="Tabele"/>
              <w:rPr>
                <w:sz w:val="20"/>
              </w:rPr>
            </w:pPr>
            <w:r w:rsidRPr="00750519">
              <w:rPr>
                <w:sz w:val="20"/>
              </w:rPr>
              <w:lastRenderedPageBreak/>
              <w:t>Ha</w:t>
            </w:r>
            <w:r w:rsidRPr="00750519">
              <w:rPr>
                <w:sz w:val="20"/>
              </w:rPr>
              <w:lastRenderedPageBreak/>
              <w:t>ramb Koçi Papa</w:t>
            </w:r>
          </w:p>
        </w:tc>
        <w:tc>
          <w:tcPr>
            <w:tcW w:w="0" w:type="auto"/>
          </w:tcPr>
          <w:p w:rsidR="00412D11" w:rsidRPr="00750519" w:rsidRDefault="00412D11" w:rsidP="00412D11">
            <w:pPr>
              <w:pStyle w:val="Tabele"/>
              <w:rPr>
                <w:sz w:val="20"/>
              </w:rPr>
            </w:pPr>
            <w:r w:rsidRPr="00750519">
              <w:rPr>
                <w:sz w:val="20"/>
              </w:rPr>
              <w:lastRenderedPageBreak/>
              <w:t xml:space="preserve">750 </w:t>
            </w:r>
            <w:r w:rsidRPr="00750519">
              <w:rPr>
                <w:sz w:val="20"/>
              </w:rPr>
              <w:lastRenderedPageBreak/>
              <w:t>m</w:t>
            </w:r>
            <w:r w:rsidRPr="00750519">
              <w:rPr>
                <w:sz w:val="20"/>
                <w:vertAlign w:val="superscript"/>
              </w:rPr>
              <w:t>2</w:t>
            </w:r>
          </w:p>
        </w:tc>
        <w:tc>
          <w:tcPr>
            <w:tcW w:w="0" w:type="auto"/>
          </w:tcPr>
          <w:p w:rsidR="00412D11" w:rsidRPr="00750519" w:rsidRDefault="00412D11" w:rsidP="00412D11">
            <w:pPr>
              <w:pStyle w:val="Tabele"/>
              <w:jc w:val="center"/>
              <w:rPr>
                <w:sz w:val="20"/>
              </w:rPr>
            </w:pPr>
            <w:r w:rsidRPr="00750519">
              <w:rPr>
                <w:sz w:val="20"/>
              </w:rPr>
              <w:lastRenderedPageBreak/>
              <w:t>32</w:t>
            </w:r>
            <w:r w:rsidRPr="00750519">
              <w:rPr>
                <w:sz w:val="20"/>
              </w:rPr>
              <w:lastRenderedPageBreak/>
              <w:t>0</w:t>
            </w:r>
          </w:p>
        </w:tc>
        <w:tc>
          <w:tcPr>
            <w:tcW w:w="0" w:type="auto"/>
          </w:tcPr>
          <w:p w:rsidR="00412D11" w:rsidRPr="00750519" w:rsidRDefault="00412D11" w:rsidP="00412D11">
            <w:pPr>
              <w:pStyle w:val="Tabele"/>
              <w:jc w:val="center"/>
              <w:rPr>
                <w:sz w:val="20"/>
              </w:rPr>
            </w:pPr>
            <w:r w:rsidRPr="00750519">
              <w:rPr>
                <w:sz w:val="20"/>
              </w:rPr>
              <w:lastRenderedPageBreak/>
              <w:t>2</w:t>
            </w:r>
            <w:r w:rsidRPr="00750519">
              <w:rPr>
                <w:sz w:val="20"/>
              </w:rPr>
              <w:lastRenderedPageBreak/>
              <w:t>40 000</w:t>
            </w:r>
          </w:p>
        </w:tc>
        <w:tc>
          <w:tcPr>
            <w:tcW w:w="0" w:type="auto"/>
          </w:tcPr>
          <w:p w:rsidR="00412D11" w:rsidRPr="00750519" w:rsidRDefault="00412D11" w:rsidP="00412D11">
            <w:pPr>
              <w:pStyle w:val="Tabele"/>
              <w:rPr>
                <w:sz w:val="20"/>
              </w:rPr>
            </w:pPr>
            <w:r w:rsidRPr="00750519">
              <w:rPr>
                <w:sz w:val="20"/>
              </w:rPr>
              <w:lastRenderedPageBreak/>
              <w:t>Proc</w:t>
            </w:r>
            <w:r w:rsidRPr="00750519">
              <w:rPr>
                <w:sz w:val="20"/>
              </w:rPr>
              <w:lastRenderedPageBreak/>
              <w:t>es regjistrimi</w:t>
            </w:r>
          </w:p>
        </w:tc>
      </w:tr>
      <w:tr w:rsidR="00412D11" w:rsidRPr="00750519">
        <w:trPr>
          <w:jc w:val="center"/>
        </w:trPr>
        <w:tc>
          <w:tcPr>
            <w:tcW w:w="0" w:type="auto"/>
          </w:tcPr>
          <w:p w:rsidR="00412D11" w:rsidRPr="00750519" w:rsidRDefault="00412D11" w:rsidP="00412D11">
            <w:pPr>
              <w:pStyle w:val="Tabele"/>
              <w:rPr>
                <w:sz w:val="20"/>
              </w:rPr>
            </w:pPr>
            <w:r w:rsidRPr="00750519">
              <w:rPr>
                <w:sz w:val="20"/>
              </w:rPr>
              <w:lastRenderedPageBreak/>
              <w:t>2.</w:t>
            </w:r>
          </w:p>
        </w:tc>
        <w:tc>
          <w:tcPr>
            <w:tcW w:w="0" w:type="auto"/>
          </w:tcPr>
          <w:p w:rsidR="00412D11" w:rsidRPr="00750519" w:rsidRDefault="00412D11" w:rsidP="00412D11">
            <w:pPr>
              <w:pStyle w:val="Tabele"/>
              <w:rPr>
                <w:sz w:val="20"/>
              </w:rPr>
            </w:pPr>
            <w:r w:rsidRPr="00750519">
              <w:rPr>
                <w:sz w:val="20"/>
              </w:rPr>
              <w:t>Jani Koçi Papa</w:t>
            </w:r>
          </w:p>
        </w:tc>
        <w:tc>
          <w:tcPr>
            <w:tcW w:w="0" w:type="auto"/>
          </w:tcPr>
          <w:p w:rsidR="00412D11" w:rsidRPr="00750519" w:rsidRDefault="00412D11" w:rsidP="00412D11">
            <w:pPr>
              <w:pStyle w:val="Tabele"/>
              <w:rPr>
                <w:sz w:val="20"/>
              </w:rPr>
            </w:pPr>
            <w:r w:rsidRPr="00750519">
              <w:rPr>
                <w:sz w:val="20"/>
              </w:rPr>
              <w:t>850 m</w:t>
            </w:r>
            <w:r w:rsidRPr="00750519">
              <w:rPr>
                <w:sz w:val="20"/>
                <w:vertAlign w:val="superscript"/>
              </w:rPr>
              <w:t>2</w:t>
            </w:r>
          </w:p>
        </w:tc>
        <w:tc>
          <w:tcPr>
            <w:tcW w:w="0" w:type="auto"/>
          </w:tcPr>
          <w:p w:rsidR="00412D11" w:rsidRPr="00750519" w:rsidRDefault="00412D11" w:rsidP="00412D11">
            <w:pPr>
              <w:pStyle w:val="Tabele"/>
              <w:jc w:val="center"/>
              <w:rPr>
                <w:sz w:val="20"/>
              </w:rPr>
            </w:pPr>
            <w:r w:rsidRPr="00750519">
              <w:rPr>
                <w:sz w:val="20"/>
              </w:rPr>
              <w:t>320</w:t>
            </w:r>
          </w:p>
        </w:tc>
        <w:tc>
          <w:tcPr>
            <w:tcW w:w="0" w:type="auto"/>
          </w:tcPr>
          <w:p w:rsidR="00412D11" w:rsidRPr="00750519" w:rsidRDefault="00412D11" w:rsidP="00412D11">
            <w:pPr>
              <w:pStyle w:val="Tabele"/>
              <w:jc w:val="center"/>
              <w:rPr>
                <w:sz w:val="20"/>
              </w:rPr>
            </w:pPr>
            <w:r w:rsidRPr="00750519">
              <w:rPr>
                <w:sz w:val="20"/>
              </w:rPr>
              <w:t>272 000</w:t>
            </w:r>
          </w:p>
        </w:tc>
        <w:tc>
          <w:tcPr>
            <w:tcW w:w="0" w:type="auto"/>
          </w:tcPr>
          <w:p w:rsidR="00412D11" w:rsidRPr="00750519" w:rsidRDefault="00412D11" w:rsidP="00412D11">
            <w:pPr>
              <w:pStyle w:val="Tabele"/>
              <w:rPr>
                <w:sz w:val="20"/>
              </w:rPr>
            </w:pPr>
            <w:r w:rsidRPr="00750519">
              <w:rPr>
                <w:sz w:val="20"/>
              </w:rPr>
              <w:t>Proces regjistrimi</w:t>
            </w:r>
          </w:p>
        </w:tc>
      </w:tr>
      <w:tr w:rsidR="00412D11" w:rsidRPr="00750519">
        <w:trPr>
          <w:jc w:val="center"/>
        </w:trPr>
        <w:tc>
          <w:tcPr>
            <w:tcW w:w="0" w:type="auto"/>
          </w:tcPr>
          <w:p w:rsidR="00412D11" w:rsidRPr="00750519" w:rsidRDefault="00412D11" w:rsidP="00412D11">
            <w:pPr>
              <w:pStyle w:val="Tabele"/>
              <w:rPr>
                <w:sz w:val="20"/>
              </w:rPr>
            </w:pPr>
          </w:p>
        </w:tc>
        <w:tc>
          <w:tcPr>
            <w:tcW w:w="0" w:type="auto"/>
          </w:tcPr>
          <w:p w:rsidR="00412D11" w:rsidRPr="00750519" w:rsidRDefault="00412D11" w:rsidP="00412D11">
            <w:pPr>
              <w:pStyle w:val="Tabele"/>
              <w:rPr>
                <w:sz w:val="20"/>
              </w:rPr>
            </w:pPr>
            <w:r w:rsidRPr="00750519">
              <w:rPr>
                <w:sz w:val="20"/>
              </w:rPr>
              <w:t>Shuma</w:t>
            </w:r>
          </w:p>
        </w:tc>
        <w:tc>
          <w:tcPr>
            <w:tcW w:w="0" w:type="auto"/>
          </w:tcPr>
          <w:p w:rsidR="00412D11" w:rsidRPr="00750519" w:rsidRDefault="00412D11" w:rsidP="00412D11">
            <w:pPr>
              <w:pStyle w:val="Tabele"/>
              <w:rPr>
                <w:sz w:val="20"/>
              </w:rPr>
            </w:pPr>
            <w:r w:rsidRPr="00750519">
              <w:rPr>
                <w:sz w:val="20"/>
              </w:rPr>
              <w:t>1600</w:t>
            </w:r>
          </w:p>
        </w:tc>
        <w:tc>
          <w:tcPr>
            <w:tcW w:w="0" w:type="auto"/>
          </w:tcPr>
          <w:p w:rsidR="00412D11" w:rsidRPr="00750519" w:rsidRDefault="00412D11" w:rsidP="00412D11">
            <w:pPr>
              <w:pStyle w:val="Tabele"/>
              <w:jc w:val="center"/>
              <w:rPr>
                <w:sz w:val="20"/>
              </w:rPr>
            </w:pPr>
            <w:r w:rsidRPr="00750519">
              <w:rPr>
                <w:sz w:val="20"/>
              </w:rPr>
              <w:t>320</w:t>
            </w:r>
          </w:p>
        </w:tc>
        <w:tc>
          <w:tcPr>
            <w:tcW w:w="0" w:type="auto"/>
          </w:tcPr>
          <w:p w:rsidR="00412D11" w:rsidRPr="00750519" w:rsidRDefault="00412D11" w:rsidP="00412D11">
            <w:pPr>
              <w:pStyle w:val="Tabele"/>
              <w:jc w:val="center"/>
              <w:rPr>
                <w:sz w:val="20"/>
              </w:rPr>
            </w:pPr>
            <w:r w:rsidRPr="00750519">
              <w:rPr>
                <w:sz w:val="20"/>
              </w:rPr>
              <w:t>512 000</w:t>
            </w:r>
          </w:p>
        </w:tc>
        <w:tc>
          <w:tcPr>
            <w:tcW w:w="0" w:type="auto"/>
          </w:tcPr>
          <w:p w:rsidR="00412D11" w:rsidRPr="00750519" w:rsidRDefault="00412D11" w:rsidP="00412D11">
            <w:pPr>
              <w:pStyle w:val="Tabele"/>
              <w:rPr>
                <w:sz w:val="20"/>
              </w:rPr>
            </w:pPr>
          </w:p>
        </w:tc>
      </w:tr>
    </w:tbl>
    <w:p w:rsidR="00412D11" w:rsidRPr="003953A6" w:rsidRDefault="00412D11" w:rsidP="00412D11">
      <w:pPr>
        <w:pStyle w:val="Paragrafi"/>
        <w:rPr>
          <w:szCs w:val="22"/>
        </w:rPr>
      </w:pPr>
    </w:p>
    <w:p w:rsidR="00412D11" w:rsidRPr="003953A6" w:rsidRDefault="00412D11" w:rsidP="00412D11">
      <w:pPr>
        <w:pStyle w:val="Paragrafi"/>
        <w:rPr>
          <w:szCs w:val="22"/>
        </w:rPr>
      </w:pPr>
      <w:r w:rsidRPr="003953A6">
        <w:rPr>
          <w:szCs w:val="22"/>
        </w:rPr>
        <w:t>Vlera totale e këtij shpronësimi është 512 000 (pesëqind e dymbëdhjetë mijë) lekë.</w:t>
      </w:r>
    </w:p>
    <w:p w:rsidR="00412D11" w:rsidRPr="003953A6" w:rsidRDefault="00412D11" w:rsidP="00412D11">
      <w:pPr>
        <w:pStyle w:val="Paragrafi"/>
        <w:rPr>
          <w:szCs w:val="22"/>
        </w:rPr>
      </w:pPr>
    </w:p>
    <w:p w:rsidR="00412D11" w:rsidRPr="003953A6" w:rsidRDefault="00661B80" w:rsidP="00412D11">
      <w:pPr>
        <w:pStyle w:val="Figure"/>
      </w:pPr>
      <w:r w:rsidRPr="003953A6">
        <w:rPr>
          <w:noProof/>
          <w:lang w:val="en-GB" w:eastAsia="en-GB"/>
        </w:rPr>
        <w:lastRenderedPageBreak/>
        <w:drawing>
          <wp:inline distT="0" distB="0" distL="0" distR="0">
            <wp:extent cx="5486400" cy="7772400"/>
            <wp:effectExtent l="19050" t="19050" r="19050" b="19050"/>
            <wp:docPr id="1" name="Picture 1" descr="tab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ab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09" t="2768" r="2888" b="13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7772400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412D11" w:rsidRPr="003953A6" w:rsidRDefault="00412D11" w:rsidP="00412D11">
      <w:pPr>
        <w:pStyle w:val="Akti"/>
        <w:jc w:val="both"/>
      </w:pPr>
    </w:p>
    <w:sectPr w:rsidR="00412D11" w:rsidRPr="003953A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12D11"/>
    <w:rsid w:val="000178C2"/>
    <w:rsid w:val="000A780A"/>
    <w:rsid w:val="00211EE2"/>
    <w:rsid w:val="003218C2"/>
    <w:rsid w:val="003B3DD8"/>
    <w:rsid w:val="00412D11"/>
    <w:rsid w:val="00661B80"/>
    <w:rsid w:val="009723D5"/>
    <w:rsid w:val="00BD1D25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D2C32DD-92A5-4EF0-938A-53B1A1897E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12D11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lang w:val="en-GB"/>
    </w:rPr>
  </w:style>
  <w:style w:type="character" w:default="1" w:styleId="DefaultParagraphFont">
    <w:name w:val="Default Paragraph Font"/>
    <w:semiHidden/>
    <w:rsid w:val="000A780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A780A"/>
  </w:style>
  <w:style w:type="paragraph" w:customStyle="1" w:styleId="Akti">
    <w:name w:val="Akti"/>
    <w:rsid w:val="003B3DD8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3B3DD8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3B3DD8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3B3DD8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3B3DD8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3B3DD8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3B3DD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3B3DD8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3B3DD8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3B3DD8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3B3DD8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3B3DD8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3B3DD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3B3DD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3B3DD8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3B3DD8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3B3DD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3B3DD8"/>
    <w:pPr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3B3DD8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3B3DD8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3B3DD8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3B3DD8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0A780A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0A780A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211EE2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211EE2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211EE2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211EE2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211EE2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211EE2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0A780A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0A780A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211EE2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0A780A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412D11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412D11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412D11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412D11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392</Words>
  <Characters>2235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2622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2019-03-16T18:07:00Z</dcterms:created>
  <dcterms:modified xsi:type="dcterms:W3CDTF">2019-03-16T18:07:00Z</dcterms:modified>
</cp:coreProperties>
</file>