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EEC" w:rsidRPr="0028337A" w:rsidRDefault="00127EEC" w:rsidP="00127EEC">
      <w:pPr>
        <w:pStyle w:val="Akti"/>
        <w:keepNext w:val="0"/>
        <w:rPr>
          <w:rFonts w:ascii="Garamond" w:hAnsi="Garamond"/>
          <w:color w:val="auto"/>
          <w:sz w:val="24"/>
          <w:szCs w:val="24"/>
          <w:lang w:val="it-IT"/>
        </w:rPr>
      </w:pPr>
      <w:r w:rsidRPr="0028337A">
        <w:rPr>
          <w:rFonts w:ascii="Garamond" w:hAnsi="Garamond"/>
          <w:color w:val="auto"/>
          <w:sz w:val="24"/>
          <w:szCs w:val="24"/>
          <w:lang w:val="it-IT"/>
        </w:rPr>
        <w:t>VENDIM</w:t>
      </w:r>
    </w:p>
    <w:p w:rsidR="00127EEC" w:rsidRPr="0028337A" w:rsidRDefault="00127EEC" w:rsidP="00127EEC">
      <w:pPr>
        <w:pStyle w:val="NumriData"/>
        <w:keepNext w:val="0"/>
        <w:rPr>
          <w:rFonts w:ascii="Garamond" w:hAnsi="Garamond"/>
          <w:sz w:val="24"/>
          <w:szCs w:val="24"/>
          <w:lang w:val="it-IT"/>
        </w:rPr>
      </w:pPr>
      <w:r w:rsidRPr="0028337A">
        <w:rPr>
          <w:rFonts w:ascii="Garamond" w:hAnsi="Garamond"/>
          <w:sz w:val="24"/>
          <w:szCs w:val="24"/>
          <w:lang w:val="it-IT"/>
        </w:rPr>
        <w:t>Nr.</w:t>
      </w:r>
      <w:r w:rsidR="00117678" w:rsidRPr="0028337A">
        <w:rPr>
          <w:rFonts w:ascii="Garamond" w:hAnsi="Garamond"/>
          <w:sz w:val="24"/>
          <w:szCs w:val="24"/>
          <w:lang w:val="it-IT"/>
        </w:rPr>
        <w:t xml:space="preserve"> </w:t>
      </w:r>
      <w:r w:rsidRPr="0028337A">
        <w:rPr>
          <w:rFonts w:ascii="Garamond" w:hAnsi="Garamond"/>
          <w:sz w:val="24"/>
          <w:szCs w:val="24"/>
          <w:lang w:val="it-IT"/>
        </w:rPr>
        <w:t>82, datë 3.2.2008</w:t>
      </w:r>
    </w:p>
    <w:p w:rsidR="00127EEC" w:rsidRPr="0028337A" w:rsidRDefault="00127EEC" w:rsidP="00127EEC">
      <w:pPr>
        <w:pStyle w:val="Paragrafi"/>
        <w:rPr>
          <w:rFonts w:ascii="Garamond" w:hAnsi="Garamond"/>
          <w:sz w:val="24"/>
          <w:szCs w:val="24"/>
          <w:lang w:val="it-IT"/>
        </w:rPr>
      </w:pPr>
    </w:p>
    <w:p w:rsidR="00117678" w:rsidRPr="00117678" w:rsidRDefault="00127EEC" w:rsidP="00117678">
      <w:pPr>
        <w:pStyle w:val="Titulli"/>
        <w:keepNext w:val="0"/>
        <w:rPr>
          <w:rFonts w:ascii="Garamond" w:hAnsi="Garamond"/>
          <w:sz w:val="24"/>
          <w:szCs w:val="24"/>
          <w:lang w:val="it-IT"/>
        </w:rPr>
      </w:pPr>
      <w:r w:rsidRPr="0028337A">
        <w:rPr>
          <w:rFonts w:ascii="Garamond" w:hAnsi="Garamond"/>
          <w:sz w:val="24"/>
          <w:szCs w:val="24"/>
          <w:lang w:val="it-IT"/>
        </w:rPr>
        <w:t>PËR MIRATIMIN E INSTRUKSIONEVE PËR PARAQITJEN, HAPJEN DHE VLERËSIMIN E OFERTAVE PËR PRIVATIZIMIN E “ARMO” SHA-SË</w:t>
      </w:r>
    </w:p>
    <w:p w:rsidR="00117678" w:rsidRPr="00117678" w:rsidRDefault="00117678" w:rsidP="001D4B00">
      <w:pPr>
        <w:jc w:val="center"/>
        <w:outlineLvl w:val="0"/>
        <w:rPr>
          <w:rFonts w:ascii="Garamond" w:hAnsi="Garamond"/>
          <w:i/>
          <w:sz w:val="24"/>
          <w:szCs w:val="24"/>
          <w:lang w:val="en-GB"/>
        </w:rPr>
      </w:pPr>
      <w:r w:rsidRPr="00117678">
        <w:rPr>
          <w:rFonts w:ascii="Garamond" w:hAnsi="Garamond"/>
          <w:i/>
          <w:sz w:val="24"/>
          <w:szCs w:val="24"/>
          <w:lang w:val="en-US"/>
        </w:rPr>
        <w:t xml:space="preserve">(Ndryshuar me VKM nr. 133, datë </w:t>
      </w:r>
      <w:r w:rsidRPr="00117678">
        <w:rPr>
          <w:rFonts w:ascii="Garamond" w:hAnsi="Garamond"/>
          <w:i/>
          <w:sz w:val="24"/>
          <w:szCs w:val="24"/>
          <w:lang w:val="en-GB"/>
        </w:rPr>
        <w:t>15.2.2008)</w:t>
      </w:r>
    </w:p>
    <w:p w:rsidR="00117678" w:rsidRPr="0028337A" w:rsidRDefault="00117678" w:rsidP="00117678">
      <w:pPr>
        <w:pStyle w:val="Paragrafi"/>
        <w:ind w:firstLine="0"/>
        <w:jc w:val="right"/>
        <w:rPr>
          <w:rFonts w:ascii="Garamond" w:hAnsi="Garamond"/>
          <w:i/>
          <w:sz w:val="24"/>
          <w:szCs w:val="24"/>
          <w:lang w:val="it-IT"/>
        </w:rPr>
      </w:pPr>
      <w:r w:rsidRPr="0028337A">
        <w:rPr>
          <w:rFonts w:ascii="Garamond" w:hAnsi="Garamond"/>
          <w:i/>
          <w:sz w:val="24"/>
          <w:szCs w:val="24"/>
          <w:lang w:val="it-IT"/>
        </w:rPr>
        <w:t>(i përditësuar)</w:t>
      </w:r>
    </w:p>
    <w:p w:rsidR="00117678" w:rsidRPr="0028337A" w:rsidRDefault="00117678" w:rsidP="00117678">
      <w:pPr>
        <w:pStyle w:val="Paragrafi"/>
        <w:ind w:firstLine="0"/>
        <w:jc w:val="right"/>
        <w:rPr>
          <w:rFonts w:ascii="Garamond" w:hAnsi="Garamond"/>
          <w:i/>
          <w:sz w:val="24"/>
          <w:szCs w:val="24"/>
          <w:lang w:val="sq-AL"/>
        </w:rPr>
      </w:pP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Në mbështetje të nenit 100 të Kushtetutës, të nenit 12 të ligjit nr.8306, datë 14.3.1998 “Për strategjinë e privatizimit të sektorëve me rëndësi të veçantë”, dhe të neneve 7 e 8 të ligjit nr.9117, datë 24.7.2003 “Për përcaktimin e formës dhe të strukturës së formulës së privatizimit të “Armo” sh.a.-së, Fier”, me propozimin e Ministrit të Ekonomisë, Tregtisë dhe Energjetikës, Këshilli i Ministrave</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VENDOSI"/>
        <w:keepNext w:val="0"/>
        <w:rPr>
          <w:rFonts w:ascii="Garamond" w:hAnsi="Garamond"/>
          <w:sz w:val="24"/>
          <w:szCs w:val="24"/>
          <w:lang w:val="it-IT"/>
        </w:rPr>
      </w:pPr>
      <w:r w:rsidRPr="0028337A">
        <w:rPr>
          <w:rFonts w:ascii="Garamond" w:hAnsi="Garamond"/>
          <w:sz w:val="24"/>
          <w:szCs w:val="24"/>
          <w:lang w:val="it-IT"/>
        </w:rPr>
        <w:t>VENDOSI:</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 Miratimin e instruksioneve për paraqitjen, hapjen dhe vlerësimin e ofertave për privatizimin e “Armo” sh.a.-së, sipas shtojcave 1, 2 e 3, që i bashkëlidhen këtij vendimi.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 Vendimet nr.</w:t>
      </w:r>
      <w:r w:rsidR="001D4B00" w:rsidRPr="0028337A">
        <w:rPr>
          <w:rFonts w:ascii="Garamond" w:hAnsi="Garamond"/>
          <w:sz w:val="24"/>
          <w:szCs w:val="24"/>
          <w:lang w:val="it-IT"/>
        </w:rPr>
        <w:t xml:space="preserve"> </w:t>
      </w:r>
      <w:r w:rsidRPr="0028337A">
        <w:rPr>
          <w:rFonts w:ascii="Garamond" w:hAnsi="Garamond"/>
          <w:sz w:val="24"/>
          <w:szCs w:val="24"/>
          <w:lang w:val="it-IT"/>
        </w:rPr>
        <w:t>420, datë 2.7.2004 “Për kriteret e përzgjedhjes së investitorëve strategjikë, të interesuar për blerjen e aksioneve të “Armo” sh.a.-së, Fier”, nr.426, datë 2.7.2004 “Për kriteret e vlerësimit të ofertave për privatizimin e “Armo” sh.a.-së, Fier” dhe nr.149, datë 18.3.2005 “Për miratimin e instruksioneve për paraqitjen dhe hapjen e ofertave për privatizimin e “Armo” sh.a.-së” të Këshillit të Ministrave, shfuqizohen.</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3.Ngarkohet Ministria e Ekonomisë, Tregtisë dhe Energjetikës për zbatimin e këtij vendimi.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Ky vendim hyn në fuqi menjëherë dhe botohet në Fletoren Zyrtare.</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Autoriteti"/>
        <w:keepNext w:val="0"/>
        <w:rPr>
          <w:rFonts w:ascii="Garamond" w:hAnsi="Garamond"/>
          <w:sz w:val="24"/>
          <w:szCs w:val="24"/>
          <w:lang w:val="it-IT"/>
        </w:rPr>
      </w:pPr>
      <w:r w:rsidRPr="0028337A">
        <w:rPr>
          <w:rFonts w:ascii="Garamond" w:hAnsi="Garamond"/>
          <w:sz w:val="24"/>
          <w:szCs w:val="24"/>
          <w:lang w:val="it-IT"/>
        </w:rPr>
        <w:t>KRYEMINISTRI</w:t>
      </w:r>
    </w:p>
    <w:p w:rsidR="00127EEC" w:rsidRPr="0028337A" w:rsidRDefault="00127EEC" w:rsidP="00127EEC">
      <w:pPr>
        <w:pStyle w:val="AutoritetiEmer"/>
        <w:rPr>
          <w:rFonts w:ascii="Garamond" w:hAnsi="Garamond"/>
          <w:sz w:val="24"/>
          <w:szCs w:val="24"/>
          <w:lang w:val="it-IT"/>
        </w:rPr>
      </w:pPr>
      <w:r w:rsidRPr="0028337A">
        <w:rPr>
          <w:rFonts w:ascii="Garamond" w:hAnsi="Garamond"/>
          <w:sz w:val="24"/>
          <w:szCs w:val="24"/>
          <w:lang w:val="it-IT"/>
        </w:rPr>
        <w:t>Sali  Berisha</w:t>
      </w:r>
    </w:p>
    <w:p w:rsidR="00127EEC" w:rsidRPr="0028337A" w:rsidRDefault="00127EEC" w:rsidP="00127EEC">
      <w:pPr>
        <w:pStyle w:val="Paragrafi"/>
        <w:ind w:firstLine="0"/>
        <w:rPr>
          <w:rFonts w:ascii="Garamond" w:hAnsi="Garamond"/>
          <w:sz w:val="24"/>
          <w:szCs w:val="24"/>
          <w:lang w:val="it-IT"/>
        </w:rPr>
      </w:pPr>
      <w:bookmarkStart w:id="0" w:name="_GoBack"/>
      <w:bookmarkEnd w:id="0"/>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TitulliNr"/>
        <w:keepNext w:val="0"/>
        <w:jc w:val="right"/>
        <w:rPr>
          <w:rFonts w:ascii="Garamond" w:hAnsi="Garamond"/>
          <w:sz w:val="24"/>
          <w:szCs w:val="24"/>
          <w:lang w:val="it-IT"/>
        </w:rPr>
      </w:pPr>
      <w:r w:rsidRPr="0028337A">
        <w:rPr>
          <w:rFonts w:ascii="Garamond" w:hAnsi="Garamond"/>
          <w:sz w:val="24"/>
          <w:szCs w:val="24"/>
          <w:lang w:val="it-IT"/>
        </w:rPr>
        <w:t>SHTOJCA 1</w:t>
      </w:r>
    </w:p>
    <w:p w:rsidR="00127EEC" w:rsidRPr="0028337A" w:rsidRDefault="00127EEC" w:rsidP="00127EEC">
      <w:pPr>
        <w:pStyle w:val="TitulliTitull"/>
        <w:keepNext w:val="0"/>
        <w:rPr>
          <w:rFonts w:ascii="Garamond" w:hAnsi="Garamond"/>
          <w:sz w:val="24"/>
          <w:szCs w:val="24"/>
          <w:lang w:val="it-IT"/>
        </w:rPr>
      </w:pPr>
    </w:p>
    <w:p w:rsidR="00127EEC" w:rsidRPr="0028337A" w:rsidRDefault="00127EEC" w:rsidP="00127EEC">
      <w:pPr>
        <w:pStyle w:val="TitulliTitull"/>
        <w:keepNext w:val="0"/>
        <w:rPr>
          <w:rFonts w:ascii="Garamond" w:hAnsi="Garamond"/>
          <w:sz w:val="24"/>
          <w:szCs w:val="24"/>
          <w:lang w:val="it-IT"/>
        </w:rPr>
      </w:pPr>
      <w:r w:rsidRPr="0028337A">
        <w:rPr>
          <w:rFonts w:ascii="Garamond" w:hAnsi="Garamond"/>
          <w:sz w:val="24"/>
          <w:szCs w:val="24"/>
          <w:lang w:val="it-IT"/>
        </w:rPr>
        <w:t xml:space="preserve">INSTRUKSIONE PËR PARAQITJEN, HAPJEN DHE VLERËSIMIN E OFERTAVE </w:t>
      </w:r>
    </w:p>
    <w:p w:rsidR="00127EEC" w:rsidRPr="0028337A" w:rsidRDefault="00127EEC" w:rsidP="00127EEC">
      <w:pPr>
        <w:pStyle w:val="TitulliTitull"/>
        <w:keepNext w:val="0"/>
        <w:rPr>
          <w:rFonts w:ascii="Garamond" w:hAnsi="Garamond"/>
          <w:sz w:val="24"/>
          <w:szCs w:val="24"/>
          <w:lang w:val="it-IT"/>
        </w:rPr>
      </w:pPr>
      <w:r w:rsidRPr="0028337A">
        <w:rPr>
          <w:rFonts w:ascii="Garamond" w:hAnsi="Garamond"/>
          <w:sz w:val="24"/>
          <w:szCs w:val="24"/>
          <w:lang w:val="it-IT"/>
        </w:rPr>
        <w:t>PËR PRIVATIZIMIN E “ARMO” SHA-SË</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Ministria e Ekonomisë, Tregtisë dhe Energjetikës e Republikës së Shqipërisë, në zbatim të neneve 7 dhe 8 të ligjit nr.9117, datë 24.7.2003 “Për përcaktimin e formës dhe të strukturës së formulës së privatizimit të “Armo” sh.a.-së, Fier” dhe vendimeve të Këshillit të Ministrave nr.329, datë 12.7.1999 “Për procedurat e tenderit për zgjedhjen e investitorëve strategjikë dhe për transferimin e aksioneve të zotëruara nga shteti në shoqëritë tregtare të sektorëve me rëndësi të veçantë”, të ndryshuar, ka hartuar instruksionet për paraqitjen dhe hapjen e ofertave në privatizimin e “Armo” sh.a.-së.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 PËRKUFIZIME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Në këto instruksione: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“Kontratë”do të thotë kontrata e blerjes së aksioneve që Ministria do të nënshkruajë me investitorin, i cili do të blejë aksionet.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“Armo” do të thotë shoqëria anonime shqiptare “Armo” sh.a., e cila është subjekt i privatizimit, në përputhje me ligjin nr.9117, datë 24.7.2003.</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“Kandidati” ose “Kandidatët” do të thotë investitori strategjik ose bashkimi i përkohshëm i shoqërive, të cilëve u ofrohen për blerje aksione të shoqërisë.</w:t>
      </w:r>
    </w:p>
    <w:p w:rsidR="00127EEC" w:rsidRPr="0028337A" w:rsidRDefault="00127EEC" w:rsidP="00117678">
      <w:pPr>
        <w:pStyle w:val="Paragrafi"/>
        <w:rPr>
          <w:rFonts w:ascii="Garamond" w:hAnsi="Garamond"/>
          <w:sz w:val="24"/>
          <w:szCs w:val="24"/>
          <w:lang w:val="it-IT"/>
        </w:rPr>
      </w:pPr>
      <w:r w:rsidRPr="0028337A">
        <w:rPr>
          <w:rFonts w:ascii="Garamond" w:hAnsi="Garamond"/>
          <w:sz w:val="24"/>
          <w:szCs w:val="24"/>
          <w:lang w:val="it-IT"/>
        </w:rPr>
        <w:t xml:space="preserve">“Investitor strategjik” do të thotë një shoqëri tregtare që e vetme plotëson kriteret e </w:t>
      </w:r>
      <w:r w:rsidRPr="0028337A">
        <w:rPr>
          <w:rFonts w:ascii="Garamond" w:hAnsi="Garamond"/>
          <w:sz w:val="24"/>
          <w:szCs w:val="24"/>
          <w:lang w:val="it-IT"/>
        </w:rPr>
        <w:lastRenderedPageBreak/>
        <w:t>parashikuara në pikën 2.1 (a), (b), (c), kapitulli II, të këtij dokumenti.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“Shoqëri e përbashkët” në kuptim të këtij vendimi, do të thotë shoqëria që krijohet nga anëtarët e bashkimit të përkohshëm të shoqërive për zotërimin e aksioneve të ARMO-s.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“Bashkim i përkohshëm i shoqërive” është marrëveshje e shkruar ndërmjet dy ose më shumë personave juridikë, që ka për objekt kryerjen e një veprimtarie të caktuar, ku përcaktohet roli i secilës palë dhe ku njëra prej tyre përcaktohet si shoqëri kryesuese, që përfaqëson bashkimin në nënshkrimin e kontratës dhe në çdo nismë tjetër.</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“Komision” do të thotë komisioni i vlerësimit të ofertave i krijuar me urdhër të Ministrit të Ekonomisë, Tregtisë dhe Energjetikës.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“Ministria” do të thotë Ministria e Ekonomisë, Tregtisë dhe Energjetikës e Republikës së Shqipërisë.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“Ofertë” ose “Ofertat” do të thotë oferta ose ofertat e paraqitura nga kandidatët për blerjen e aksioneve të shoqërisë “Armo”.</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“Ofertë e përputhur” do të thotë një ofertë që përputhet me të gjithë termat, kushtet, kriteret dhe specifikimet e dokumenteve të tenderit.</w:t>
      </w:r>
    </w:p>
    <w:p w:rsidR="00127EEC" w:rsidRPr="0028337A" w:rsidRDefault="00A52788" w:rsidP="00127EEC">
      <w:pPr>
        <w:pStyle w:val="Paragrafi"/>
        <w:rPr>
          <w:rFonts w:ascii="Garamond" w:hAnsi="Garamond"/>
          <w:i/>
          <w:sz w:val="24"/>
          <w:szCs w:val="24"/>
          <w:lang w:val="it-IT"/>
        </w:rPr>
      </w:pPr>
      <w:r w:rsidRPr="0028337A">
        <w:rPr>
          <w:rFonts w:ascii="Garamond" w:hAnsi="Garamond"/>
          <w:i/>
          <w:sz w:val="24"/>
          <w:szCs w:val="24"/>
          <w:lang w:val="it-IT"/>
        </w:rPr>
        <w:t xml:space="preserve">“Aksione” do të thotë 5 357 725 (pesë milionë e treqind e pesëdhjetë e shtatë mijë e shtatëqind e njëzet e pesë) aksione nominative të ARMO-s, me një vlerë nominale prej 1 000 (një mijë) lekësh secili, plotësisht të paguara, që i korrespondojnë 85 për qind të kapitalit të “ARMO-s”, të </w:t>
      </w:r>
      <w:r w:rsidRPr="0028337A">
        <w:rPr>
          <w:rFonts w:ascii="Garamond" w:hAnsi="Garamond"/>
          <w:i/>
          <w:sz w:val="24"/>
          <w:szCs w:val="24"/>
          <w:lang w:val="it-IT"/>
        </w:rPr>
        <w:t>cilat u janë ofruar kandidatëve</w:t>
      </w:r>
      <w:r w:rsidR="00127EEC" w:rsidRPr="0028337A">
        <w:rPr>
          <w:rFonts w:ascii="Garamond" w:hAnsi="Garamond"/>
          <w:i/>
          <w:sz w:val="24"/>
          <w:szCs w:val="24"/>
          <w:lang w:val="it-IT"/>
        </w:rPr>
        <w:t>.</w:t>
      </w:r>
      <w:r w:rsidRPr="0028337A">
        <w:rPr>
          <w:rFonts w:ascii="Garamond" w:hAnsi="Garamond"/>
          <w:i/>
          <w:sz w:val="24"/>
          <w:szCs w:val="24"/>
          <w:lang w:val="it-IT"/>
        </w:rPr>
        <w:t xml:space="preserve"> </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Në këto instruksione termat ofertë, tender dhe derivatet e tyre (kandidat/tenderues, ofruar/tenderuar, ofertë/tenderi etj.), janë sinonime dhe “ditë” do të thotë ditë kalendarike, përveç rasteve kur përcaktohet ndryshe në këtë vendim. Njëjës gjithashtu kuptohet shumës.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II.  TË PËRGJITHSHME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 Organizimi i tenderit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1.1 Forma e përzgjedhjes së kandidatëve të interesuar për blerjen e aksioneve të “Armo-s” është tender i hapur ndërkombëtar me një fazë. Ministria dëshiron të organizojë këtë tender, të marrë oferta për blerjen e aksioneve dhe t’i vlerësojë ato.</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  Kriteret e kualifikimit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2.1 Kandidatët duhet të përmbushin kërkesat e mëposhtme: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 Të jetë person juridik që zotëron garanci financiare e të jetë i njohur në veprimtarinë ekonomike në një sektor të caktuar, në përputhje me standardet e certifikimit ISO 9000 ose më standardet e njësuara me to;</w:t>
      </w:r>
    </w:p>
    <w:p w:rsidR="00A52788" w:rsidRPr="0028337A" w:rsidRDefault="00127EEC" w:rsidP="00A52788">
      <w:pPr>
        <w:pStyle w:val="Paragrafi"/>
        <w:rPr>
          <w:rFonts w:ascii="Garamond" w:hAnsi="Garamond"/>
          <w:i/>
          <w:sz w:val="24"/>
          <w:szCs w:val="24"/>
          <w:lang w:val="it-IT"/>
        </w:rPr>
      </w:pPr>
      <w:r w:rsidRPr="0028337A">
        <w:rPr>
          <w:rFonts w:ascii="Garamond" w:hAnsi="Garamond"/>
          <w:sz w:val="24"/>
          <w:szCs w:val="24"/>
          <w:lang w:val="it-IT"/>
        </w:rPr>
        <w:t xml:space="preserve">b) </w:t>
      </w:r>
      <w:r w:rsidR="00A52788" w:rsidRPr="0028337A">
        <w:rPr>
          <w:rFonts w:ascii="Garamond" w:hAnsi="Garamond"/>
          <w:i/>
          <w:sz w:val="24"/>
          <w:szCs w:val="24"/>
          <w:lang w:val="it-IT"/>
        </w:rPr>
        <w:t>Të jetë shoqëri e specializuar në fushën e përpunimit e të tregtimit të naftës/gazit e nënprodukteve të tyre, që t’i ketë ushtruar këto veprimtar</w:t>
      </w:r>
      <w:r w:rsidR="00A52788" w:rsidRPr="0028337A">
        <w:rPr>
          <w:rFonts w:ascii="Garamond" w:hAnsi="Garamond"/>
          <w:i/>
          <w:sz w:val="24"/>
          <w:szCs w:val="24"/>
          <w:lang w:val="it-IT"/>
        </w:rPr>
        <w:t>i për jo më pak se tre vjet</w:t>
      </w:r>
      <w:r w:rsidR="00A52788" w:rsidRPr="0028337A">
        <w:rPr>
          <w:rFonts w:ascii="Garamond" w:hAnsi="Garamond"/>
          <w:i/>
          <w:sz w:val="24"/>
          <w:szCs w:val="24"/>
          <w:lang w:val="it-IT"/>
        </w:rPr>
        <w: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c) Të ketë një kapital tërësisht të paguar në shumën 55 000 000 (pesëdhjetë e pesë milionë) euro apo barasvlerën e kësaj shume në valutën, në të cilën është shprehur kapitali; vlera neto dhe, sipas rastit, vlera neto e konsoliduar duhet të jetë të paktën 135 000 000 (njëqind e tridhjetë e pesë milionë) euro;</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 Nëse ofertat paraqiten nga një bashkim i përkohshëm i shoqërive, duhet të plotësojnë kërkesat e mëposhtme:</w:t>
      </w:r>
    </w:p>
    <w:p w:rsidR="00127EEC" w:rsidRPr="0028337A" w:rsidRDefault="00127EEC" w:rsidP="00127EEC">
      <w:pPr>
        <w:pStyle w:val="Paragrafi"/>
        <w:rPr>
          <w:rFonts w:ascii="Garamond" w:hAnsi="Garamond"/>
          <w:i/>
          <w:sz w:val="24"/>
          <w:szCs w:val="24"/>
          <w:lang w:val="it-IT"/>
        </w:rPr>
      </w:pPr>
      <w:r w:rsidRPr="0028337A">
        <w:rPr>
          <w:rFonts w:ascii="Garamond" w:hAnsi="Garamond"/>
          <w:sz w:val="24"/>
          <w:szCs w:val="24"/>
          <w:lang w:val="it-IT"/>
        </w:rPr>
        <w:t xml:space="preserve">i) </w:t>
      </w:r>
      <w:r w:rsidR="00F872CA" w:rsidRPr="0028337A">
        <w:rPr>
          <w:rFonts w:ascii="Garamond" w:hAnsi="Garamond"/>
          <w:i/>
          <w:sz w:val="24"/>
          <w:szCs w:val="24"/>
        </w:rPr>
        <w:t>Investitori strategjik duhet të zotërojë të paktën 20 për qind të kapitalit dhe të së drejtës së vo</w:t>
      </w:r>
      <w:r w:rsidR="00F872CA" w:rsidRPr="0028337A">
        <w:rPr>
          <w:rFonts w:ascii="Garamond" w:hAnsi="Garamond"/>
          <w:i/>
          <w:sz w:val="24"/>
          <w:szCs w:val="24"/>
        </w:rPr>
        <w:t>tës në shoqërinë e përbashkët</w:t>
      </w:r>
      <w:r w:rsidRPr="0028337A">
        <w:rPr>
          <w:rFonts w:ascii="Garamond" w:hAnsi="Garamond"/>
          <w:i/>
          <w:sz w:val="24"/>
          <w:szCs w:val="24"/>
          <w:lang w:val="it-IT"/>
        </w:rPr>
        <w: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ii) oferta duhet të përfshijë të gjithë informacionin e listuar në pikat e mësipërme 2.1 dhe 2.2;</w:t>
      </w:r>
    </w:p>
    <w:p w:rsidR="00127EEC" w:rsidRPr="0028337A" w:rsidRDefault="00127EEC" w:rsidP="00117678">
      <w:pPr>
        <w:pStyle w:val="Paragrafi"/>
        <w:rPr>
          <w:rFonts w:ascii="Garamond" w:hAnsi="Garamond"/>
          <w:sz w:val="24"/>
          <w:szCs w:val="24"/>
          <w:lang w:val="it-IT"/>
        </w:rPr>
      </w:pPr>
      <w:r w:rsidRPr="0028337A">
        <w:rPr>
          <w:rFonts w:ascii="Garamond" w:hAnsi="Garamond"/>
          <w:sz w:val="24"/>
          <w:szCs w:val="24"/>
          <w:lang w:val="it-IT"/>
        </w:rPr>
        <w:t>iii) një nga pjesëmarrësit duhet të jetë i autorizuar të veprojë si përfaqësues i kandidatit, dhe ky autorizim duhet të evidentohet nga paraqitja e një prokure, e nënshkruar nga nënshkruesit ligjorë të autorizuar të të gjitha palëve;</w:t>
      </w:r>
    </w:p>
    <w:p w:rsidR="00127EEC" w:rsidRPr="0028337A" w:rsidRDefault="00127EEC" w:rsidP="00117678">
      <w:pPr>
        <w:pStyle w:val="Paragrafi"/>
        <w:rPr>
          <w:rFonts w:ascii="Garamond" w:hAnsi="Garamond"/>
          <w:sz w:val="24"/>
          <w:szCs w:val="24"/>
          <w:lang w:val="it-IT"/>
        </w:rPr>
      </w:pPr>
      <w:r w:rsidRPr="0028337A">
        <w:rPr>
          <w:rFonts w:ascii="Garamond" w:hAnsi="Garamond"/>
          <w:sz w:val="24"/>
          <w:szCs w:val="24"/>
          <w:lang w:val="it-IT"/>
        </w:rPr>
        <w:t>iv) përfaqësuesit të kandidatit duhet t’i jepen nga partnerët e tij kompetencat e nevojshme për të hyrë në marrëveshje kontraktuale dhe për të marrë përsipër detyrimet e lidhura, që rrjedhin nga marrëveshja;</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 xml:space="preserve">v) të gjithë pjesëmarrësit e bashkimit të përkohshëm të shoqërive do të jenë përgjegjës solidarë dhe individualisht për zbatimin e marrëveshjes, në përputhje me termat dhe kushtet e saj, </w:t>
      </w:r>
      <w:r w:rsidRPr="0028337A">
        <w:rPr>
          <w:rFonts w:ascii="Garamond" w:hAnsi="Garamond"/>
          <w:sz w:val="24"/>
          <w:szCs w:val="24"/>
          <w:lang w:val="it-IT"/>
        </w:rPr>
        <w:lastRenderedPageBreak/>
        <w:t>dhe një deklaratë për këtë veprim duhet të përfshihet në autorizimin e përmendur në pikën 2.2 më poshtë, si edhe në ofertë dhe në marrëveshje;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vi) një kopje e marrëveshjes e lidhur nga përfaqësuesit e bashkimit të përkohshëm të shoqërive (shoqërisë së përbashkët) duhet të paraqitet me ofertën. Ndonjë modifikim i ri i një marrëveshjeje të tillë pas paraqitjes së ofertës mund të lejohet me miratimin paraprak të Ministrisë.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Mosplotësimi i këtyre kritereve, të parashikuara në pikat (a), (b), (c) dhe (d) të pikës 2 më sipër, përbën kusht për skualifikimin e kandidatit.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2.2 Kandidatët duhet, që si pjesë së ofertës së tyre të paraqesin një prokurë me shkrim, ku evidentohet që personi që ka firmosur ofertën ka të drejtë ta bëjë këtë në emër dhe për llogari të kandidatit. Mungesa e kësaj prokure sjell si pasojë refuzimin e ofertës.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2.3 Secili kandidat do të paraqesë vetëm një ofertë. Një kandidat, i cili paraqet ose merr pjesë në më shumë se një ofertë do të skualifikohet.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2.4 Kandidati do të përballojë të gjitha shpenzimet e lidhura me përgatitjen dhe paraqitjen e ofertës së tij dhe Ministria në asnjë rast nuk do të jetë përgjegjëse apo e detyruar për këto shpenzime, pavarësisht nga ecuria ose rezultati i procesit të tenderit.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III. DOKUMENTET E TENDERIT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 Letra e paraqitjes së ofertës do të përfshijë angazhimet e mëposhtme: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 pranimi nga kandidatët i termave dhe kushteve të parashtruara në vendimet e Këshillit të Ministrave, që rregullojnë procedurat e tenderit;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 pranimi nga kandidati i detyrimeve që rrjedhin nga vlerësimi i tenderit.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 Dokumentet e tenderit do të përfshijnë dhe dokumentet e mëposhtme: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 emri i kandidatit;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 kopje të vendimit për regjistrimin në regjistrin tregtar të kompanive ose një dokument ekuivalent të dhënë nga autoritetet kompetente të vendeve përkatëse të kandidatëve,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c) dokument që provon se kandidati nuk është në likuidim, ka aftësi paguese dhe nuk ka mbingarkesë në borxhe. Në rast se kandidati është një bashkim i përkohshëm i shoqërive, dokumente të tilla duhet të jepen nga secili prej pjesëmarrësve në këtë bashkim;</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 sasia në euro e çmimit total që kandidati ofron për blerjen e aksioneve;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e) një deklaratë që evidenton mundësinë financiare të kandidatit për të përmbushur detyrimet që rrjedhin nga plani i biznesit sipas afateve të parashikuara në të. Në qoftë se kërkohet financim për këtë qëllim, kandidati duhet të paraqesë një deklaratë bankare, që vërteton se mjetet financiare të kandidatit janë të mjaftueshme për të përmbushur detyrimet që rrjedhin nga plani i biznesit.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 Planbiznesi i propozuar për “Armo-n” për vitet 2008-2013</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3.1 Ofertuesi, do të prezantojë si pjesë kryesore të dokumentacionit të tenderit, një plan biznesi për vitet 2008-2013. Plani i biznesit do të demonstrojë në detaje planet e ofertuesit dhe kapacitetet e tij për:</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 të financuar “Armo-n”, me qëllim përballimin e nevojave operacionale të tashme dhe të ardhme, si dhe nevojat e marketingut;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 të modernizuar, përtërirë dhe ristrukturuar asetet teknologjike të “Armo-s”;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c) të zgjeruar linjat e prodhimit të “Armo-s” dhe, gjithashtu, të racionalizojë prodhimet në qarkullim;</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 të forcuar dhe zgjeruar zinxhirin e tregtarëve dhe furnizuesve të “Armo-s”;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e) të zgjeruar në mënyrë substanciale vendin në tregun shqiptar, rajonal dhe atë botëror, dhe të zhvillojë një plan marketingu largpamës dhe të fuqishëm;</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f) të rritur efiçencën ekonomike të “Armo-s”, fitimin e tij dhe vlerën e aksioneve në treg;</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g) të treguar kujdes maksimal për fuqinë punëtore të “Armo-s”, ndërsa racionalizon nevojat aktuale dhe të ardhme të fuqisë punëtore;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h) të forcuar markat tregtare (</w:t>
      </w:r>
      <w:r w:rsidRPr="0028337A">
        <w:rPr>
          <w:rFonts w:ascii="Garamond" w:hAnsi="Garamond"/>
          <w:i/>
          <w:sz w:val="24"/>
          <w:szCs w:val="24"/>
        </w:rPr>
        <w:t>brande-et</w:t>
      </w:r>
      <w:r w:rsidRPr="0028337A">
        <w:rPr>
          <w:rFonts w:ascii="Garamond" w:hAnsi="Garamond"/>
          <w:sz w:val="24"/>
          <w:szCs w:val="24"/>
        </w:rPr>
        <w:t xml:space="preserve">) të produkteve të </w:t>
      </w:r>
      <w:r w:rsidRPr="0028337A">
        <w:rPr>
          <w:rFonts w:ascii="Garamond" w:hAnsi="Garamond"/>
          <w:sz w:val="24"/>
          <w:szCs w:val="24"/>
          <w:lang w:val="en-GB"/>
        </w:rPr>
        <w:t>“Armo-s”</w:t>
      </w:r>
      <w:r w:rsidRPr="0028337A">
        <w:rPr>
          <w:rFonts w:ascii="Garamond" w:hAnsi="Garamond"/>
          <w:sz w:val="24"/>
          <w:szCs w:val="24"/>
        </w:rPr>
        <w:t>.</w:t>
      </w:r>
    </w:p>
    <w:p w:rsidR="00127EEC" w:rsidRPr="0028337A" w:rsidRDefault="00127EEC" w:rsidP="00117678">
      <w:pPr>
        <w:pStyle w:val="Paragrafi"/>
        <w:rPr>
          <w:rFonts w:ascii="Garamond" w:hAnsi="Garamond"/>
          <w:sz w:val="24"/>
          <w:szCs w:val="24"/>
        </w:rPr>
      </w:pPr>
      <w:r w:rsidRPr="0028337A">
        <w:rPr>
          <w:rFonts w:ascii="Garamond" w:hAnsi="Garamond"/>
          <w:sz w:val="24"/>
          <w:szCs w:val="24"/>
        </w:rPr>
        <w:t>4. Garancia e ofertës</w:t>
      </w:r>
    </w:p>
    <w:p w:rsidR="00127EEC" w:rsidRPr="0028337A" w:rsidRDefault="00127EEC" w:rsidP="00127EEC">
      <w:pPr>
        <w:pStyle w:val="Paragrafi"/>
        <w:rPr>
          <w:rFonts w:ascii="Garamond" w:hAnsi="Garamond"/>
          <w:sz w:val="24"/>
          <w:szCs w:val="24"/>
        </w:rPr>
      </w:pPr>
      <w:r w:rsidRPr="0028337A">
        <w:rPr>
          <w:rFonts w:ascii="Garamond" w:hAnsi="Garamond"/>
          <w:sz w:val="24"/>
          <w:szCs w:val="24"/>
        </w:rPr>
        <w:t xml:space="preserve">4.1 Kandidati do të paraqesë, si pjesë të ofertës së tij, një garanci prej 10% të çmimit total </w:t>
      </w:r>
      <w:r w:rsidRPr="0028337A">
        <w:rPr>
          <w:rFonts w:ascii="Garamond" w:hAnsi="Garamond"/>
          <w:sz w:val="24"/>
          <w:szCs w:val="24"/>
        </w:rPr>
        <w:lastRenderedPageBreak/>
        <w:t>që kandidati ofron për blerjen e aksioneve.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4.2 Garancia duhet të jetë në formën e një garancie bankare, e lëshuar nga një bankë me reputacion, e zgjedhur nga kandidati. Formati i garancisë bankare duhet të jetë në përputhje me formën e garancisë së ofertës, sipas shtojcës 2. Garancia e ofertës duhet të jetë e vlefshme për një periudhë prej 28 ditësh pune pas periudhës së vlefshmërisë së ofertës së paraqitur, pa përfshirë ndonjë periudhë të shtyrjes së mëvonshme të kërkuar sipas pikës 3.2 të kap IV.</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4.3 Ministria do të refuzojë çdo ofertë të pashoqëruar nga një garanci sipas pikave 4.1 dhe 4.2 më sipër, si të papërputhur. Garancia e ofertës për një bashkim të përkohshëm shoqërie duhet të jetë në emër të të gjithë anëtarëve të bashkimit të përkohshëm të shoqërisë.</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4.4 Garancia e ofertës së kandidatëve jofitues do t’u kthehen këtyre të fundit jo më vonë se 28 ditë pune pas përfundimit të afatit të vlefshmërisë së kësaj garancie.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4.5 Garancia e ofertës për kandidatin fitues do të kthehet kur kandidati ka dhënë garancinë e kontratës, së kërkuar nga marrëveshja, brenda datës së specifikuar në të.</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4.6 Garancia e ofertës do të tërhiqet nga METE: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a) në qoftë se kandidati nuk pranon korrigjimin e çmimit të tij të ofertës, në përputhje me pikën 5.2, kap VI; ose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b) në rast se kandidati tërhiqet nga oferta e propozuar prej tij, pas hapjes së saj;</w:t>
      </w:r>
    </w:p>
    <w:p w:rsidR="00127EEC" w:rsidRPr="0028337A" w:rsidRDefault="00127EEC" w:rsidP="00127EEC">
      <w:pPr>
        <w:pStyle w:val="Paragrafi"/>
        <w:rPr>
          <w:rFonts w:ascii="Garamond" w:hAnsi="Garamond"/>
          <w:sz w:val="24"/>
          <w:szCs w:val="24"/>
        </w:rPr>
      </w:pPr>
      <w:r w:rsidRPr="0028337A">
        <w:rPr>
          <w:rFonts w:ascii="Garamond" w:hAnsi="Garamond"/>
          <w:sz w:val="24"/>
          <w:szCs w:val="24"/>
        </w:rPr>
        <w:t>c) në rastin e një kandidati fitues, në qoftë se ai nuk arrin, që brenda afatit kohor të parashikuar në dokumentet standarde të tenderit:</w:t>
      </w:r>
    </w:p>
    <w:p w:rsidR="00127EEC" w:rsidRPr="0028337A" w:rsidRDefault="00127EEC" w:rsidP="00127EEC">
      <w:pPr>
        <w:pStyle w:val="Paragrafi"/>
        <w:rPr>
          <w:rFonts w:ascii="Garamond" w:hAnsi="Garamond"/>
          <w:sz w:val="24"/>
          <w:szCs w:val="24"/>
        </w:rPr>
      </w:pPr>
      <w:r w:rsidRPr="0028337A">
        <w:rPr>
          <w:rFonts w:ascii="Garamond" w:hAnsi="Garamond"/>
          <w:sz w:val="24"/>
          <w:szCs w:val="24"/>
        </w:rPr>
        <w:t>- të firmosë marrëveshjen; ose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 të dorëzojë garancinë e kontratës, së kërkuar nga marrëveshja.</w:t>
      </w:r>
    </w:p>
    <w:p w:rsidR="00127EEC" w:rsidRPr="0028337A" w:rsidRDefault="00127EEC" w:rsidP="00127EEC">
      <w:pPr>
        <w:pStyle w:val="Paragrafi"/>
        <w:rPr>
          <w:rFonts w:ascii="Garamond" w:hAnsi="Garamond"/>
          <w:sz w:val="24"/>
          <w:szCs w:val="24"/>
        </w:rPr>
      </w:pPr>
      <w:r w:rsidRPr="0028337A">
        <w:rPr>
          <w:rFonts w:ascii="Garamond" w:hAnsi="Garamond"/>
          <w:sz w:val="24"/>
          <w:szCs w:val="24"/>
        </w:rPr>
        <w:t>IV. PËRGATITJA E OFERTAVE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1. Gjuha e ofertës dhe e të gjithë korrespondencës dhe dokumenteve, që lidhen me tenderin të shkëmbyera ndërmjet kandidatit dhe ministrisë duhet të jetë anglisht. Dokumentet ndihmëse dhe literatura e shkruar e dhënë nga kandidati mund të jenë në gjuhë tjetër, të shoqëruara nga një përkthim i saktë në anglisht; në këto raste, për qëllimet e interpretimit të ofertës, gjuha anglisht do të jetë mbizotëruese.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2. Çmimi i ofruar nga kandidati do të jetë i shprehur tërësisht në euro.</w:t>
      </w:r>
    </w:p>
    <w:p w:rsidR="00127EEC" w:rsidRPr="0028337A" w:rsidRDefault="00127EEC" w:rsidP="00127EEC">
      <w:pPr>
        <w:pStyle w:val="Paragrafi"/>
        <w:rPr>
          <w:rFonts w:ascii="Garamond" w:hAnsi="Garamond"/>
          <w:sz w:val="24"/>
          <w:szCs w:val="24"/>
        </w:rPr>
      </w:pPr>
      <w:r w:rsidRPr="0028337A">
        <w:rPr>
          <w:rFonts w:ascii="Garamond" w:hAnsi="Garamond"/>
          <w:sz w:val="24"/>
          <w:szCs w:val="24"/>
        </w:rPr>
        <w:t>3. Vlefshmëria e ofertës</w:t>
      </w:r>
    </w:p>
    <w:p w:rsidR="00127EEC" w:rsidRPr="0028337A" w:rsidRDefault="00127EEC" w:rsidP="00127EEC">
      <w:pPr>
        <w:pStyle w:val="Paragrafi"/>
        <w:rPr>
          <w:rFonts w:ascii="Garamond" w:hAnsi="Garamond"/>
          <w:sz w:val="24"/>
          <w:szCs w:val="24"/>
        </w:rPr>
      </w:pPr>
      <w:r w:rsidRPr="0028337A">
        <w:rPr>
          <w:rFonts w:ascii="Garamond" w:hAnsi="Garamond"/>
          <w:sz w:val="24"/>
          <w:szCs w:val="24"/>
        </w:rPr>
        <w:t>3.1 Oferta do të jetë e vlefshme për një periudhë prej 120 ditësh (njëqind e njëzet), pas datës së hapjes së ofertës.</w:t>
      </w:r>
    </w:p>
    <w:p w:rsidR="00127EEC" w:rsidRPr="0028337A" w:rsidRDefault="00127EEC" w:rsidP="00127EEC">
      <w:pPr>
        <w:pStyle w:val="Paragrafi"/>
        <w:rPr>
          <w:rFonts w:ascii="Garamond" w:hAnsi="Garamond"/>
          <w:sz w:val="24"/>
          <w:szCs w:val="24"/>
        </w:rPr>
      </w:pPr>
      <w:r w:rsidRPr="0028337A">
        <w:rPr>
          <w:rFonts w:ascii="Garamond" w:hAnsi="Garamond"/>
          <w:sz w:val="24"/>
          <w:szCs w:val="24"/>
        </w:rPr>
        <w:t>3.2 Në rrethana të veçanta, para mbarimit të periudhës së vlefshmërisë së ofertës origjinale, ministria mund të kërkojë që kandidatët të zgjasin afatin e vlefshmërisë për një periudhë shtesë. Kërkesa dhe përgjegjësitë për këtë duhet të bëhen me letërrekomande ose me faks. Një kandidat mund të refuzojë kërkesën pa humbur garancinë e tij të ofertës. Një kandidati, që pranon kërkesën, nuk do t’i kërkohet ose pranohet të modifikojë ofertën e tij, por do t’i kërkohet të shtyjë vlefshmërinë e garancisë së tij të ofertës për periudhën e zgjatjes dhe në përputhje me pikën 4 të kap III.</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 Formati dhe nënshkrimi i ofertës</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4.1 Kandidati do të përgatisë një origjinal të dokumenteve të tenderit të treguara në pikat 1 dhe 2 të kap III, lidhur me dokumentet e përshkruara në pikat 2.1 dhe 2.2 të kap II, të cilat duhet të kenë qartë të shënuar “Origjinal”. Përveç kësaj kandidati do të paraqesë 3 (tri) kopje të ofertës, të cilat duhet të kenë të shënuara qartë “Kopje”. Në rastet e mospërputhjes midis tyre do të jetë i vlefshëm origjinali.</w:t>
      </w:r>
    </w:p>
    <w:p w:rsidR="00127EEC" w:rsidRPr="0028337A" w:rsidRDefault="00127EEC" w:rsidP="00127EEC">
      <w:pPr>
        <w:pStyle w:val="Paragrafi"/>
        <w:rPr>
          <w:rFonts w:ascii="Garamond" w:hAnsi="Garamond"/>
          <w:sz w:val="24"/>
          <w:szCs w:val="24"/>
        </w:rPr>
      </w:pPr>
      <w:r w:rsidRPr="0028337A">
        <w:rPr>
          <w:rFonts w:ascii="Garamond" w:hAnsi="Garamond"/>
          <w:sz w:val="24"/>
          <w:szCs w:val="24"/>
        </w:rPr>
        <w:t>4.2 Origjinali dhe të gjitha kopjet duhet të jenë të shtypura ose të shkruara me bojë të pashlyeshme (në rastin e kopjeve, fotokopjet janë gjithashtu të pranueshme) dhe duhet të jenë të nënshkruara nga një person ose persona të autorizuar sipas rregullit, për të nënshkruar në emrin e kandidatit. Personi apo personat që nënshkruajnë ofertën do të nënshkruajnë të gjitha faqet e ofertës, si dhe të nënshkruajnë vendet ku janë bërë shënime apo ndryshime.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 xml:space="preserve">4.3 Asnjë pjesë e ofertës, modifikim, heqje apo shtesa, nuk do të konsiderohen gjatë vlerësimit të ofertës, nëse të tilla pjesë të ofertës, modifikime, heqje apo shtesa nuk janë nënshkruar </w:t>
      </w:r>
      <w:r w:rsidRPr="0028337A">
        <w:rPr>
          <w:rFonts w:ascii="Garamond" w:hAnsi="Garamond"/>
          <w:sz w:val="24"/>
          <w:szCs w:val="24"/>
        </w:rPr>
        <w:lastRenderedPageBreak/>
        <w:t>nga personi ose personat që kanë nënshkruar ofertën fillestare.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V. PARAQITJA E OFERTËS</w:t>
      </w:r>
    </w:p>
    <w:p w:rsidR="00127EEC" w:rsidRPr="0028337A" w:rsidRDefault="00127EEC" w:rsidP="00127EEC">
      <w:pPr>
        <w:pStyle w:val="Paragrafi"/>
        <w:rPr>
          <w:rFonts w:ascii="Garamond" w:hAnsi="Garamond"/>
          <w:sz w:val="24"/>
          <w:szCs w:val="24"/>
        </w:rPr>
      </w:pPr>
      <w:r w:rsidRPr="0028337A">
        <w:rPr>
          <w:rFonts w:ascii="Garamond" w:hAnsi="Garamond"/>
          <w:sz w:val="24"/>
          <w:szCs w:val="24"/>
        </w:rPr>
        <w:t xml:space="preserve">1. Vulosja dhe vlerësimi i ofertave </w:t>
      </w:r>
    </w:p>
    <w:p w:rsidR="00127EEC" w:rsidRPr="0028337A" w:rsidRDefault="00127EEC" w:rsidP="00127EEC">
      <w:pPr>
        <w:pStyle w:val="Paragrafi"/>
        <w:rPr>
          <w:rFonts w:ascii="Garamond" w:hAnsi="Garamond"/>
          <w:sz w:val="24"/>
          <w:szCs w:val="24"/>
        </w:rPr>
      </w:pPr>
      <w:r w:rsidRPr="0028337A">
        <w:rPr>
          <w:rFonts w:ascii="Garamond" w:hAnsi="Garamond"/>
          <w:sz w:val="24"/>
          <w:szCs w:val="24"/>
        </w:rPr>
        <w:t>1.1 Kandidati do të vulosë origjinalin dhe secilën kopje të ofertës në zarfe të veçanta, në secilën prej të cilave duhet të jetë e shënuar sipas rregullit si: “Origjinal” ose “Kopje”. Zarfet që përmbajnë kopje duhet të vulosen në një zarf të jashtëm të shënuar “Kopje”.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1.2 Zarfi i shënuar “Origjinal” duhet:</w:t>
      </w:r>
    </w:p>
    <w:p w:rsidR="00127EEC" w:rsidRPr="0028337A" w:rsidRDefault="00127EEC" w:rsidP="00127EEC">
      <w:pPr>
        <w:pStyle w:val="Paragrafi"/>
        <w:rPr>
          <w:rFonts w:ascii="Garamond" w:hAnsi="Garamond"/>
          <w:sz w:val="24"/>
          <w:szCs w:val="24"/>
        </w:rPr>
      </w:pPr>
      <w:r w:rsidRPr="0028337A">
        <w:rPr>
          <w:rFonts w:ascii="Garamond" w:hAnsi="Garamond"/>
          <w:sz w:val="24"/>
          <w:szCs w:val="24"/>
        </w:rPr>
        <w:t>a) t’i adresohet Ministrisë në adresën e mëposhtme:</w:t>
      </w:r>
    </w:p>
    <w:p w:rsidR="00127EEC" w:rsidRPr="0028337A" w:rsidRDefault="00127EEC" w:rsidP="00127EEC">
      <w:pPr>
        <w:pStyle w:val="Paragrafi"/>
        <w:rPr>
          <w:rFonts w:ascii="Garamond" w:hAnsi="Garamond"/>
          <w:sz w:val="24"/>
          <w:szCs w:val="24"/>
        </w:rPr>
      </w:pPr>
      <w:r w:rsidRPr="0028337A">
        <w:rPr>
          <w:rFonts w:ascii="Garamond" w:hAnsi="Garamond"/>
          <w:sz w:val="24"/>
          <w:szCs w:val="24"/>
        </w:rPr>
        <w:t>Republika e Shqipërisë</w:t>
      </w:r>
    </w:p>
    <w:p w:rsidR="00127EEC" w:rsidRPr="0028337A" w:rsidRDefault="00127EEC" w:rsidP="00127EEC">
      <w:pPr>
        <w:pStyle w:val="Paragrafi"/>
        <w:rPr>
          <w:rFonts w:ascii="Garamond" w:hAnsi="Garamond"/>
          <w:sz w:val="24"/>
          <w:szCs w:val="24"/>
        </w:rPr>
      </w:pPr>
      <w:r w:rsidRPr="0028337A">
        <w:rPr>
          <w:rFonts w:ascii="Garamond" w:hAnsi="Garamond"/>
          <w:sz w:val="24"/>
          <w:szCs w:val="24"/>
        </w:rPr>
        <w:t>Ministria e Ekonomisë, Tregtisë dhe Energjetikës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Drejtoria e Përgjithshme e Shërbimeve Tregtare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Bulevardi “Dëshmorët e Kombit”, nr.1001</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Tiranë, Shqipëri;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 të mbajë referencën “Privatizimi Armo-ofertë për blerjen e aksioneve të “Armo”-s;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c) të japë një paralajmërim për moshapjen përpara kohës dhe datës së dhënë në pikën 1, kap VI.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1.3 Zarfet me shënimin “Kopje” dhe zarfi i jashtëm duhet: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 të adresohen në Ministri me adresën e mëposhtme: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Republika e Shqipërisë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Ministria e Ekonomisë, Tregtisë dhe Energjetikës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Drejtoria e Përgjithshme e Shërbimeve Tregtare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Bulevardi “Dëshmorët e Kombit”, nr.1001</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Tiranë, Shqipëri;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 të mbajë referencën “Privatizimi i Armo-ofertë për blerjen e aksioneve të “Armo”-s;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c) të japin një paralajmërim për moshapjen përpara kohës dhe datës së dhënë në pikën 1, kap VI.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1.4 Veç identifikimit të kërkuar në pikën 1.2 dhe në pikën 1.3, kap V, të gjitha zarfet duhet të tregojnë emrin dhe adresën e kandidatit për të mundësuar që të kthehet e pahapur oferta, në rast se ajo deklarohet e “vonuar”, sipas pikës 3, kap V.</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1.5 Në qoftë se zarfet nuk janë vulosur dhe shënuar si më sipër, Ministria nuk merr përsipër përgjegjësi për dërgimin në një vend të gabuar dhe hapjen para kohe të ofertës.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 Afati për paraqitjen e ofertave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2.1 Ministria duhet të marrë ofertat e shënuara “Origjinal” dhe “Kopje” në adresat e specifikuara në pikat 1.2 ose 1.3 të kap V jo më vonë se data 21 maj 2008, ora 14.00.</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2.2 Ministria, në situata të veçanta dhe me zgjedhjen e saj, mund të zgjasë afatin për paraqitjen e ofertave. Në një rast të tillë, të gjitha të drejtat dhe detyrimet e Ministrisë dhe kandidatëve që më parë i nënshtroheshin afatit fillestar, pas kësaj do t’i nënshtrohen afatit të shtyrë, duke njoftuar më parë të gjithë kandidatët.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 Ofertat e vonuara</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Ndonjë ofertë e marrë nga Ministria pas afatit për paraqitjen e ofertave, parashikuar në pikën 2 të kap V do t’i kthehet e pahapur kandidatit.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VI. HAPJA E OFERTËS DHE VLERËSIMI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 Hapja e ofertës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1.1 Komisioni, në prani të kandidatëve, do të hapë zarfet e shënuar “Origjinal” në Ministri, në kohën e duhur për paraqitjen e ofertës, si specifikohet në pikën 2.1 të kap V.</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1.2 Emrat e kandidatëve, çmimi i ofertës dhe prezenca (apo mungesa) e garancisë së ofertës do të njoftohet nga komisioni në hapje.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1.3 Komisioni do të përgatisë procesverbalet e hapjes së ofertës. Një noter publik duhet të jetë i pranishëm dhe të konfirmojë procesverbalet e hapjes së ofertës.</w:t>
      </w:r>
    </w:p>
    <w:p w:rsidR="00127EEC" w:rsidRPr="0028337A" w:rsidRDefault="00127EEC" w:rsidP="00117678">
      <w:pPr>
        <w:pStyle w:val="Paragrafi"/>
        <w:rPr>
          <w:rFonts w:ascii="Garamond" w:hAnsi="Garamond"/>
          <w:sz w:val="24"/>
          <w:szCs w:val="24"/>
          <w:lang w:val="it-IT"/>
        </w:rPr>
      </w:pPr>
      <w:r w:rsidRPr="0028337A">
        <w:rPr>
          <w:rFonts w:ascii="Garamond" w:hAnsi="Garamond"/>
          <w:sz w:val="24"/>
          <w:szCs w:val="24"/>
          <w:lang w:val="it-IT"/>
        </w:rPr>
        <w:t>2. Konfidencialiteti i procesit të vlerësimit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 xml:space="preserve">Informacioni i lidhur me vlerësimin dhe krahasimin e ofertave dhe rekomandimet për </w:t>
      </w:r>
      <w:r w:rsidRPr="0028337A">
        <w:rPr>
          <w:rFonts w:ascii="Garamond" w:hAnsi="Garamond"/>
          <w:sz w:val="24"/>
          <w:szCs w:val="24"/>
          <w:lang w:val="it-IT"/>
        </w:rPr>
        <w:lastRenderedPageBreak/>
        <w:t>shpalljen fitues nuk do të zbulohen për kandidatët ose ndonjë person tjetër, që nuk janë të lidhur zyrtarisht me një proces të tillë, deri sa të jetë shpallur vlerësimi për kandidatin fitues. Ndonjë përpjekje nga një kandidat, për të influencuar në përpunimin e ofertave ose vendimet e vlerësimit të komisionit, mund të rezultojnë në refuzim të ofertës së kandidatit.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 Sqarimi i ofertave dhe komunikimi me komisionin e vlerësimit të ofertave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3.1 Komisioni, në rast paqartësie, mund t’i kërkojë kandidatëve ndonjë sqarim rreth dokumenteve tashmë të dhëna. Në këtë rast, kandidatët duhet të jenë të gatshëm për të dhënë sqarimet brenda 5 (pesë) ditëve prej marrjes së kërkesës së komisionit, neglizhimi për të pranuar një kërkesë të tillë, mund të rezultojë me përjashtimin nga tenderi.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3.2 Çdo komunikim ndërmjet kandidatëve dhe komisionit, do të bëhet vetëm në mënyrë të shkruar dhe vetëm nëpërmjet faksit apo letrësrekomande.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4 Shqyrtimi i ofertave dhe përputhshmëria</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4.1 Para vlerësimit të detajuar të ofertave, komisioni do të përcaktojë nëse çdo ofertë: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 plotëson kriteret e kualifikimit të përcaktuara në pikën 2 të kap II;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 shoqërohet me garancinë e ofertës, së kërkuar në përputhje me pikën 4 të kap të III, si dhe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c) është në thelb në përputhje me kërkesat e dokumenteve të tenderit.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4.2 Një ofertë e përputhur në përmbajtje, është një ofertë që përputhet me të gjithë termat, kushtet dhe specifikimet e dokumenteve të tenderit, pa devijime apo rezervime materiale. Një devijim apo rezervim material konsiderohet: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a) një kufizim në ndonjë mënyrë thelbësore, të papajtueshme me dokumentet e tenderit, i të drejtave të Ministrisë ose detyrimeve të kandidatëve sipas marrëveshjes; ose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 korrigjimi i të cilit mund të ndikojë padrejtësisht pozicionin konkurrues të kandidatëve të tjerë, që prezantojnë oferta të përputhura.</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4.3 Në qoftë se një ofertë nuk është e përputhur, ajo do të refuzohet nga komisioni.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5  Ndreqja e gabimeve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5.1 Komisioni do të kontrollojë ofertat e përcaktuara për të qenë përgjegjës për ndonjë gabim aritmetik. Ku ka një mospajtim midis shumave në shifra dhe në fjalë, shumat në fjalë do të jenë mbizotëruese.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5.2 Shuma e deklaruar në ofertë do të rregullohet nga komisioni në përputhje me pikën 5.1 dhe, me marrëveshjen e kandidatit, do të konsiderohen si detyruese sipas kandidatit. Në qoftë se kandidati nuk pranon shumën e korrigjuar të ofertës, oferta e tij nuk do të pranohet dhe garancia e tenderit mund të humbasë në përputhje me pikën 4.6 (a), kap III.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6  Vlerësimi dhe krahasimi i ofertave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6.1 Komisioni do të vlerësojë dhe do të krahasojë vetëm ofertat e përcaktuara, të cilat janë të përputhura sipas pikës 4, kap VI.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6.2 Në zbatim të vendimit të Këshillit të Ministrave nr.329, datë 12.7.1999, vlerësimi i ofertave do të bëhet sipas shtojcës 3, bashkëlidhur këtij vendimi.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7  Mossuksesi i procedurës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7.1 Procedura do të konsiderohet e pasuksesshme  në rast se asnjë ofertë  nuk paraqitet apo asnjë nga ofertat  e paraqitura nuk është e përputhur.</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VII. ANKIMIMI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 Komisioni do t’u njoftojë përfundimin e vlerësimit kandidatëve pjesëmarrës, të cilët brenda 5 ditëve nga data e marrjes së njoftimit mund të kundërshtojnë vlerësimin pranë ministrit përgjegjës për ekonominë, i cili shqyrton ankimin dhe kthen përgjigjen brenda 10 ditëve pune nga data e marrjes së ankimit.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VIII. MIRATIMI I VLERËSIMIT DHE NËNSHKRIMI I KONTRATËS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1. Komisioni do t’i paraqesë Këshillit të Ministrave raportin përfundimtar të vlerësimit të ofertave, të klasifikuara në përputhje me kriteret e përmendura në pikën 6.2 të kap VI.</w:t>
      </w:r>
    </w:p>
    <w:p w:rsidR="00127EEC" w:rsidRPr="0028337A" w:rsidRDefault="00127EEC" w:rsidP="00117678">
      <w:pPr>
        <w:pStyle w:val="Paragrafi"/>
        <w:rPr>
          <w:rFonts w:ascii="Garamond" w:hAnsi="Garamond"/>
          <w:sz w:val="24"/>
          <w:szCs w:val="24"/>
          <w:lang w:val="it-IT"/>
        </w:rPr>
      </w:pPr>
      <w:r w:rsidRPr="0028337A">
        <w:rPr>
          <w:rFonts w:ascii="Garamond" w:hAnsi="Garamond"/>
          <w:sz w:val="24"/>
          <w:szCs w:val="24"/>
          <w:lang w:val="it-IT"/>
        </w:rPr>
        <w:t>Këshilli i Ministrave miraton raportin e vlerësimit të ofertave dhe shpall kandidatin fitues.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 xml:space="preserve">2. Këshilli i Ministrave, mund që në çdo kohë përpara shpalljes së fituesit, të anulojë </w:t>
      </w:r>
      <w:r w:rsidRPr="0028337A">
        <w:rPr>
          <w:rFonts w:ascii="Garamond" w:hAnsi="Garamond"/>
          <w:sz w:val="24"/>
          <w:szCs w:val="24"/>
          <w:lang w:val="it-IT"/>
        </w:rPr>
        <w:lastRenderedPageBreak/>
        <w:t>procedurën e tenderit pa dhënë argumente kandidatëve.</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  Njoftimi për vlerësimin</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2.1 Përpara përfundimit të afatit të vlefshmërisë së ofertës, ministria do të njoftojë kandidatin fitues dhe do të fillojë negocimin e kontratës me të.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 Nënshkrimi i kontratës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3.1 Brenda 30 (tridhjetë) ditëve pas shpalljes së fituesit, kandidati fitues duhet të firmosë kontratën me ministrinë dhe të dorëzojë garancinë e kontratës. Në të kundërt, negocimet do të fillojnë me kandidatin i klasifikuar i dyti dhe pastaj me kandidatin tjetër të klasifikuar, në përputhje me të njëjtën procedurë.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3.2 Afati i treguar në pikën 3.1 të kap VIII mund të shtyhet sipas marrëveshjes ndërmjet palëve për 30 (tridhjetë) ditë, jo më shumë se një herë.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3.3 Garancia e kontratës do të jetë 20% të çmimit të blerjes dhe do të jetë sipas formatit bashkëlidhur në shtojcën 2.</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Garancia e kontratës do t’i kthehet blerësit pas pagimit të plotë të çmimit të kontratës sipas kushteve të përcaktuara në të, (kontratë).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4.  Miratimi i kontratës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Kontrata pasi firmoset nga ministria përgjegjëse për ekonominë dhe blerësi, miratohet nga Këshilli i Ministrave.</w:t>
      </w:r>
    </w:p>
    <w:p w:rsidR="00127EEC" w:rsidRPr="0028337A" w:rsidRDefault="00127EEC" w:rsidP="00127EEC">
      <w:pPr>
        <w:pStyle w:val="Paragrafi"/>
        <w:ind w:firstLine="0"/>
        <w:rPr>
          <w:rFonts w:ascii="Garamond" w:hAnsi="Garamond"/>
          <w:sz w:val="24"/>
          <w:szCs w:val="24"/>
          <w:lang w:val="it-IT"/>
        </w:rPr>
      </w:pPr>
    </w:p>
    <w:p w:rsidR="00127EEC" w:rsidRPr="0028337A" w:rsidRDefault="00127EEC" w:rsidP="00127EEC">
      <w:pPr>
        <w:pStyle w:val="Paragrafi"/>
        <w:jc w:val="right"/>
        <w:rPr>
          <w:rFonts w:ascii="Garamond" w:hAnsi="Garamond"/>
          <w:sz w:val="24"/>
          <w:szCs w:val="24"/>
          <w:lang w:val="it-IT"/>
        </w:rPr>
      </w:pPr>
      <w:r w:rsidRPr="0028337A">
        <w:rPr>
          <w:rFonts w:ascii="Garamond" w:hAnsi="Garamond"/>
          <w:sz w:val="24"/>
          <w:szCs w:val="24"/>
          <w:lang w:val="it-IT"/>
        </w:rPr>
        <w:t>SHTOJCA 2</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 xml:space="preserve">Koka e letrës së bankës </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Datë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Republika e Shqipërisë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Ministria e Ekonomisë, Tregtisë dhe Energjetikës</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Bulevardi “Dëshmorët e Kombit”, nr.1001</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Tiranë</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Shqipëri</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TitulliTitull"/>
        <w:rPr>
          <w:rFonts w:ascii="Garamond" w:hAnsi="Garamond"/>
          <w:sz w:val="24"/>
          <w:szCs w:val="24"/>
          <w:lang w:val="it-IT"/>
        </w:rPr>
      </w:pPr>
      <w:r w:rsidRPr="0028337A">
        <w:rPr>
          <w:rFonts w:ascii="Garamond" w:hAnsi="Garamond"/>
          <w:sz w:val="24"/>
          <w:szCs w:val="24"/>
          <w:lang w:val="it-IT"/>
        </w:rPr>
        <w:t>Letër garancie</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Ne jemi informuar se klienti ynë ____________________(më poshtë “Kandidati”) do t’u paraqesë ofertën e tij për blerjen e aksioneve të zotëruara nga shteti, të kompanisë shqiptare “Armo” sh.a., që ju tani zotëroni, bazuar në vendimin e Këshillit të Ministrave “Për miratimin e instruksioneve për paraqitjen dhe hapjen e ofertave për privatizimin e shoqërisë anonime “Armo” (më poshtë “Instruksionet”).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Në përputhje me pikën 4.4 të instruksioneve, kandidati i kërkohet të paraqesë një garanci të tenderit në sasinë prej ______ eurosh.</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Duke qenë të deklaruar, në, me seli në _______me kërkesë të kandidatit, ndërmarrim për t’u paguar menjëherë juve , në mënyrë të pakthyeshme, sipas kërkesës suaj të parë me shkrim, një sasi deri në _______ euro, pa ndonjë njoftim ose kufizim, ose kushtëzim dhe pavarësisht nga ndonjë kundërshtim i ngritur nga kandidati.</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Detyrimet tuaja sipas kësaj letre të garancisë do të përfundojnë në datën e treguar në pikën 4.4.2 të instruksioneve, ose në rast se është përcaktuar kandidati, në datën e treguar në pikën 4.4.5 të instruksioneve. Kërkesa juaj e shkruar duhet të na ketë arritur nga ajo datë, përndryshe ndonjë dhe të gjitha kërkesat përkundrejt nesh, sipas kësaj letre të garancisë do t’u mbarojë afati automatikisht.</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Origjinali i këtij dokumenti duhet të kthehet brenda afateve të specifikuara në pikën 4.4.4 ose në pikën 4.4.5 të instruksioneve, ose në ndonjë rast pasi të gjitha kërkesat tuaja të jenë kënaqur.</w:t>
      </w:r>
    </w:p>
    <w:p w:rsidR="00127EEC" w:rsidRPr="0028337A" w:rsidRDefault="00127EEC" w:rsidP="00127EEC">
      <w:pPr>
        <w:pStyle w:val="Paragrafi"/>
        <w:rPr>
          <w:rFonts w:ascii="Garamond" w:hAnsi="Garamond"/>
          <w:sz w:val="24"/>
          <w:szCs w:val="24"/>
          <w:lang w:val="it-IT"/>
        </w:rPr>
      </w:pPr>
    </w:p>
    <w:p w:rsidR="00127EEC" w:rsidRPr="0028337A" w:rsidRDefault="00127EEC" w:rsidP="00127EEC">
      <w:pPr>
        <w:pStyle w:val="Paragrafi"/>
        <w:jc w:val="right"/>
        <w:rPr>
          <w:rFonts w:ascii="Garamond" w:hAnsi="Garamond"/>
          <w:sz w:val="24"/>
          <w:szCs w:val="24"/>
          <w:lang w:val="it-IT"/>
        </w:rPr>
      </w:pPr>
    </w:p>
    <w:p w:rsidR="00127EEC" w:rsidRPr="0028337A" w:rsidRDefault="00127EEC" w:rsidP="00127EEC">
      <w:pPr>
        <w:pStyle w:val="Paragrafi"/>
        <w:jc w:val="right"/>
        <w:rPr>
          <w:rFonts w:ascii="Garamond" w:hAnsi="Garamond"/>
          <w:sz w:val="24"/>
          <w:szCs w:val="24"/>
          <w:lang w:val="it-IT"/>
        </w:rPr>
      </w:pPr>
    </w:p>
    <w:p w:rsidR="00127EEC" w:rsidRPr="0028337A" w:rsidRDefault="00127EEC" w:rsidP="00127EEC">
      <w:pPr>
        <w:pStyle w:val="Paragrafi"/>
        <w:jc w:val="right"/>
        <w:rPr>
          <w:rFonts w:ascii="Garamond" w:hAnsi="Garamond"/>
          <w:sz w:val="24"/>
          <w:szCs w:val="24"/>
          <w:lang w:val="it-IT"/>
        </w:rPr>
      </w:pPr>
      <w:r w:rsidRPr="0028337A">
        <w:rPr>
          <w:rFonts w:ascii="Garamond" w:hAnsi="Garamond"/>
          <w:sz w:val="24"/>
          <w:szCs w:val="24"/>
          <w:lang w:val="it-IT"/>
        </w:rPr>
        <w:t>SHTOJCA 3</w:t>
      </w:r>
    </w:p>
    <w:p w:rsidR="00127EEC" w:rsidRPr="0028337A" w:rsidRDefault="00127EEC" w:rsidP="00127EEC">
      <w:pPr>
        <w:pStyle w:val="Paragrafi"/>
        <w:rPr>
          <w:rFonts w:ascii="Garamond" w:hAnsi="Garamond"/>
          <w:sz w:val="24"/>
          <w:szCs w:val="24"/>
          <w:lang w:val="it-IT"/>
        </w:rPr>
      </w:pPr>
      <w:r w:rsidRPr="0028337A">
        <w:rPr>
          <w:rFonts w:ascii="Garamond" w:hAnsi="Garamond"/>
          <w:sz w:val="24"/>
          <w:szCs w:val="24"/>
          <w:lang w:val="it-IT"/>
        </w:rPr>
        <w:t>Tabela 1: KRITERET E RENDITJES DHE VLERËSIMET</w:t>
      </w:r>
    </w:p>
    <w:p w:rsidR="00987A1D" w:rsidRPr="0028337A" w:rsidRDefault="00987A1D" w:rsidP="00127EEC">
      <w:pPr>
        <w:pStyle w:val="Paragrafi"/>
        <w:rPr>
          <w:rFonts w:ascii="Garamond" w:hAnsi="Garamond"/>
          <w:i/>
          <w:sz w:val="24"/>
          <w:szCs w:val="24"/>
          <w:lang w:val="it-IT"/>
        </w:rPr>
      </w:pPr>
      <w:r w:rsidRPr="0028337A">
        <w:rPr>
          <w:rFonts w:ascii="Garamond" w:hAnsi="Garamond"/>
          <w:i/>
          <w:sz w:val="24"/>
          <w:szCs w:val="24"/>
          <w:lang w:val="it-IT"/>
        </w:rPr>
        <w:t>(Ndryshuar pika 1 dhe 3 me VKM nr. 133, datë 15.2.2008)</w:t>
      </w:r>
    </w:p>
    <w:p w:rsidR="00127EEC" w:rsidRPr="0028337A" w:rsidRDefault="00127EEC" w:rsidP="00127EEC">
      <w:pPr>
        <w:pStyle w:val="Paragrafi"/>
        <w:rPr>
          <w:rFonts w:ascii="Garamond" w:hAnsi="Garamond"/>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4770"/>
        <w:gridCol w:w="879"/>
        <w:gridCol w:w="884"/>
        <w:gridCol w:w="706"/>
      </w:tblGrid>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Kategoria</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Përshkrimi</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i/>
                <w:sz w:val="24"/>
                <w:szCs w:val="24"/>
              </w:rPr>
            </w:pPr>
            <w:r w:rsidRPr="0028337A">
              <w:rPr>
                <w:rFonts w:ascii="Garamond" w:hAnsi="Garamond"/>
                <w:i/>
                <w:sz w:val="24"/>
                <w:szCs w:val="24"/>
              </w:rPr>
              <w:t>1</w:t>
            </w:r>
          </w:p>
        </w:tc>
        <w:tc>
          <w:tcPr>
            <w:tcW w:w="4911" w:type="dxa"/>
          </w:tcPr>
          <w:p w:rsidR="00127EEC" w:rsidRPr="0028337A" w:rsidRDefault="00127EEC" w:rsidP="00127EEC">
            <w:pPr>
              <w:pStyle w:val="Tabele"/>
              <w:rPr>
                <w:rFonts w:ascii="Garamond" w:hAnsi="Garamond"/>
                <w:i/>
                <w:sz w:val="24"/>
                <w:szCs w:val="24"/>
              </w:rPr>
            </w:pPr>
            <w:r w:rsidRPr="0028337A">
              <w:rPr>
                <w:rFonts w:ascii="Garamond" w:hAnsi="Garamond"/>
                <w:i/>
                <w:sz w:val="24"/>
                <w:szCs w:val="24"/>
              </w:rPr>
              <w:t>Teknik</w:t>
            </w:r>
          </w:p>
        </w:tc>
        <w:tc>
          <w:tcPr>
            <w:tcW w:w="900" w:type="dxa"/>
          </w:tcPr>
          <w:p w:rsidR="00127EEC" w:rsidRPr="0028337A" w:rsidRDefault="00987A1D" w:rsidP="00127EEC">
            <w:pPr>
              <w:pStyle w:val="Tabele"/>
              <w:jc w:val="center"/>
              <w:rPr>
                <w:rFonts w:ascii="Garamond" w:hAnsi="Garamond"/>
                <w:i/>
                <w:sz w:val="24"/>
                <w:szCs w:val="24"/>
              </w:rPr>
            </w:pPr>
            <w:r w:rsidRPr="0028337A">
              <w:rPr>
                <w:rFonts w:ascii="Garamond" w:hAnsi="Garamond"/>
                <w:i/>
                <w:sz w:val="24"/>
                <w:szCs w:val="24"/>
              </w:rPr>
              <w:t>25</w:t>
            </w:r>
          </w:p>
        </w:tc>
        <w:tc>
          <w:tcPr>
            <w:tcW w:w="900" w:type="dxa"/>
          </w:tcPr>
          <w:p w:rsidR="00127EEC" w:rsidRPr="0028337A" w:rsidRDefault="00127EEC" w:rsidP="00127EEC">
            <w:pPr>
              <w:pStyle w:val="Tabele"/>
              <w:jc w:val="center"/>
              <w:rPr>
                <w:rFonts w:ascii="Garamond" w:hAnsi="Garamond"/>
                <w:i/>
                <w:sz w:val="24"/>
                <w:szCs w:val="24"/>
              </w:rPr>
            </w:pPr>
          </w:p>
        </w:tc>
        <w:tc>
          <w:tcPr>
            <w:tcW w:w="719" w:type="dxa"/>
          </w:tcPr>
          <w:p w:rsidR="00127EEC" w:rsidRPr="0028337A" w:rsidRDefault="00127EEC" w:rsidP="00127EEC">
            <w:pPr>
              <w:pStyle w:val="Tabele"/>
              <w:jc w:val="center"/>
              <w:rPr>
                <w:rFonts w:ascii="Garamond" w:hAnsi="Garamond"/>
                <w:i/>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1.1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Kredencialet teknike të blerësit të mundshëm</w:t>
            </w:r>
          </w:p>
        </w:tc>
        <w:tc>
          <w:tcPr>
            <w:tcW w:w="900" w:type="dxa"/>
          </w:tcPr>
          <w:p w:rsidR="00127EEC" w:rsidRPr="0028337A" w:rsidRDefault="00127EEC" w:rsidP="00127EEC">
            <w:pPr>
              <w:pStyle w:val="Tabele"/>
              <w:jc w:val="center"/>
              <w:rPr>
                <w:rFonts w:ascii="Garamond" w:hAnsi="Garamond"/>
                <w:sz w:val="24"/>
                <w:szCs w:val="24"/>
              </w:rPr>
            </w:pPr>
          </w:p>
        </w:tc>
        <w:tc>
          <w:tcPr>
            <w:tcW w:w="900" w:type="dxa"/>
          </w:tcPr>
          <w:p w:rsidR="00127EEC" w:rsidRPr="0028337A" w:rsidRDefault="00127EEC" w:rsidP="00127EEC">
            <w:pPr>
              <w:pStyle w:val="Tabele"/>
              <w:jc w:val="center"/>
              <w:rPr>
                <w:rFonts w:ascii="Garamond" w:hAnsi="Garamond"/>
                <w:sz w:val="24"/>
                <w:szCs w:val="24"/>
              </w:rPr>
            </w:pPr>
            <w:r w:rsidRPr="0028337A">
              <w:rPr>
                <w:rFonts w:ascii="Garamond" w:hAnsi="Garamond"/>
                <w:sz w:val="24"/>
                <w:szCs w:val="24"/>
              </w:rPr>
              <w:t>30</w:t>
            </w:r>
          </w:p>
        </w:tc>
        <w:tc>
          <w:tcPr>
            <w:tcW w:w="719" w:type="dxa"/>
          </w:tcPr>
          <w:p w:rsidR="00127EEC" w:rsidRPr="0028337A" w:rsidRDefault="00127EEC" w:rsidP="00127EEC">
            <w:pPr>
              <w:pStyle w:val="Tabele"/>
              <w:jc w:val="center"/>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lang w:val="sq-AL"/>
              </w:rPr>
            </w:pPr>
            <w:r w:rsidRPr="0028337A">
              <w:rPr>
                <w:rFonts w:ascii="Garamond" w:hAnsi="Garamond"/>
                <w:sz w:val="24"/>
                <w:szCs w:val="24"/>
                <w:lang w:val="sq-AL"/>
              </w:rPr>
              <w:t>1.1.1</w:t>
            </w:r>
          </w:p>
        </w:tc>
        <w:tc>
          <w:tcPr>
            <w:tcW w:w="4911" w:type="dxa"/>
          </w:tcPr>
          <w:p w:rsidR="00127EEC" w:rsidRPr="0028337A" w:rsidRDefault="00127EEC" w:rsidP="00127EEC">
            <w:pPr>
              <w:pStyle w:val="Tabele"/>
              <w:rPr>
                <w:rFonts w:ascii="Garamond" w:hAnsi="Garamond"/>
                <w:sz w:val="24"/>
                <w:szCs w:val="24"/>
                <w:lang w:val="sq-AL"/>
              </w:rPr>
            </w:pPr>
            <w:r w:rsidRPr="0028337A">
              <w:rPr>
                <w:rFonts w:ascii="Garamond" w:hAnsi="Garamond"/>
                <w:sz w:val="24"/>
                <w:szCs w:val="24"/>
                <w:lang w:val="sq-AL"/>
              </w:rPr>
              <w:t>Qëllimet strategjike të blerësit për “Armo”-n</w:t>
            </w:r>
          </w:p>
        </w:tc>
        <w:tc>
          <w:tcPr>
            <w:tcW w:w="900" w:type="dxa"/>
          </w:tcPr>
          <w:p w:rsidR="00127EEC" w:rsidRPr="0028337A" w:rsidRDefault="00127EEC" w:rsidP="00127EEC">
            <w:pPr>
              <w:pStyle w:val="Tabele"/>
              <w:jc w:val="center"/>
              <w:rPr>
                <w:rFonts w:ascii="Garamond" w:hAnsi="Garamond"/>
                <w:sz w:val="24"/>
                <w:szCs w:val="24"/>
                <w:lang w:val="sq-AL"/>
              </w:rPr>
            </w:pPr>
          </w:p>
        </w:tc>
        <w:tc>
          <w:tcPr>
            <w:tcW w:w="900" w:type="dxa"/>
          </w:tcPr>
          <w:p w:rsidR="00127EEC" w:rsidRPr="0028337A" w:rsidRDefault="00127EEC" w:rsidP="00127EEC">
            <w:pPr>
              <w:pStyle w:val="Tabele"/>
              <w:jc w:val="center"/>
              <w:rPr>
                <w:rFonts w:ascii="Garamond" w:hAnsi="Garamond"/>
                <w:sz w:val="24"/>
                <w:szCs w:val="24"/>
                <w:lang w:val="sq-AL"/>
              </w:rPr>
            </w:pPr>
          </w:p>
        </w:tc>
        <w:tc>
          <w:tcPr>
            <w:tcW w:w="719" w:type="dxa"/>
          </w:tcPr>
          <w:p w:rsidR="00127EEC" w:rsidRPr="0028337A" w:rsidRDefault="00127EEC" w:rsidP="00127EEC">
            <w:pPr>
              <w:pStyle w:val="Tabele"/>
              <w:jc w:val="center"/>
              <w:rPr>
                <w:rFonts w:ascii="Garamond" w:hAnsi="Garamond"/>
                <w:sz w:val="24"/>
                <w:szCs w:val="24"/>
                <w:lang w:val="sq-AL"/>
              </w:rPr>
            </w:pPr>
            <w:r w:rsidRPr="0028337A">
              <w:rPr>
                <w:rFonts w:ascii="Garamond" w:hAnsi="Garamond"/>
                <w:sz w:val="24"/>
                <w:szCs w:val="24"/>
                <w:lang w:val="sq-AL"/>
              </w:rPr>
              <w:t>50</w:t>
            </w:r>
          </w:p>
        </w:tc>
      </w:tr>
      <w:tr w:rsidR="0028337A" w:rsidRPr="0028337A">
        <w:tc>
          <w:tcPr>
            <w:tcW w:w="1857" w:type="dxa"/>
          </w:tcPr>
          <w:p w:rsidR="00127EEC" w:rsidRPr="0028337A" w:rsidRDefault="00127EEC" w:rsidP="00127EEC">
            <w:pPr>
              <w:pStyle w:val="Tabele"/>
              <w:rPr>
                <w:rFonts w:ascii="Garamond" w:hAnsi="Garamond"/>
                <w:sz w:val="24"/>
                <w:szCs w:val="24"/>
                <w:lang w:val="sq-AL"/>
              </w:rPr>
            </w:pPr>
            <w:r w:rsidRPr="0028337A">
              <w:rPr>
                <w:rFonts w:ascii="Garamond" w:hAnsi="Garamond"/>
                <w:sz w:val="24"/>
                <w:szCs w:val="24"/>
                <w:lang w:val="sq-AL"/>
              </w:rPr>
              <w:t>1.1.2</w:t>
            </w:r>
          </w:p>
        </w:tc>
        <w:tc>
          <w:tcPr>
            <w:tcW w:w="4911" w:type="dxa"/>
          </w:tcPr>
          <w:p w:rsidR="00127EEC" w:rsidRPr="0028337A" w:rsidRDefault="00127EEC" w:rsidP="00127EEC">
            <w:pPr>
              <w:pStyle w:val="Tabele"/>
              <w:rPr>
                <w:rFonts w:ascii="Garamond" w:hAnsi="Garamond"/>
                <w:sz w:val="24"/>
                <w:szCs w:val="24"/>
                <w:lang w:val="sq-AL"/>
              </w:rPr>
            </w:pPr>
            <w:r w:rsidRPr="0028337A">
              <w:rPr>
                <w:rFonts w:ascii="Garamond" w:hAnsi="Garamond"/>
                <w:sz w:val="24"/>
                <w:szCs w:val="24"/>
                <w:lang w:val="sq-AL"/>
              </w:rPr>
              <w:t>Pronësia e blerësit në aktivitetin përpunues</w:t>
            </w:r>
          </w:p>
        </w:tc>
        <w:tc>
          <w:tcPr>
            <w:tcW w:w="900" w:type="dxa"/>
          </w:tcPr>
          <w:p w:rsidR="00127EEC" w:rsidRPr="0028337A" w:rsidRDefault="00127EEC" w:rsidP="00127EEC">
            <w:pPr>
              <w:pStyle w:val="Tabele"/>
              <w:jc w:val="center"/>
              <w:rPr>
                <w:rFonts w:ascii="Garamond" w:hAnsi="Garamond"/>
                <w:sz w:val="24"/>
                <w:szCs w:val="24"/>
                <w:lang w:val="sq-AL"/>
              </w:rPr>
            </w:pPr>
          </w:p>
        </w:tc>
        <w:tc>
          <w:tcPr>
            <w:tcW w:w="900" w:type="dxa"/>
          </w:tcPr>
          <w:p w:rsidR="00127EEC" w:rsidRPr="0028337A" w:rsidRDefault="00127EEC" w:rsidP="00127EEC">
            <w:pPr>
              <w:pStyle w:val="Tabele"/>
              <w:jc w:val="center"/>
              <w:rPr>
                <w:rFonts w:ascii="Garamond" w:hAnsi="Garamond"/>
                <w:sz w:val="24"/>
                <w:szCs w:val="24"/>
                <w:lang w:val="sq-AL"/>
              </w:rPr>
            </w:pPr>
          </w:p>
        </w:tc>
        <w:tc>
          <w:tcPr>
            <w:tcW w:w="719" w:type="dxa"/>
          </w:tcPr>
          <w:p w:rsidR="00127EEC" w:rsidRPr="0028337A" w:rsidRDefault="00127EEC" w:rsidP="00127EEC">
            <w:pPr>
              <w:pStyle w:val="Tabele"/>
              <w:jc w:val="center"/>
              <w:rPr>
                <w:rFonts w:ascii="Garamond" w:hAnsi="Garamond"/>
                <w:sz w:val="24"/>
                <w:szCs w:val="24"/>
                <w:lang w:val="sq-AL"/>
              </w:rPr>
            </w:pPr>
            <w:r w:rsidRPr="0028337A">
              <w:rPr>
                <w:rFonts w:ascii="Garamond" w:hAnsi="Garamond"/>
                <w:sz w:val="24"/>
                <w:szCs w:val="24"/>
                <w:lang w:val="sq-AL"/>
              </w:rPr>
              <w:t>25</w:t>
            </w:r>
          </w:p>
        </w:tc>
      </w:tr>
      <w:tr w:rsidR="0028337A" w:rsidRPr="0028337A">
        <w:tc>
          <w:tcPr>
            <w:tcW w:w="1857" w:type="dxa"/>
          </w:tcPr>
          <w:p w:rsidR="00127EEC" w:rsidRPr="0028337A" w:rsidRDefault="00127EEC" w:rsidP="00127EEC">
            <w:pPr>
              <w:pStyle w:val="Tabele"/>
              <w:rPr>
                <w:rFonts w:ascii="Garamond" w:hAnsi="Garamond"/>
                <w:sz w:val="24"/>
                <w:szCs w:val="24"/>
                <w:lang w:val="sq-AL"/>
              </w:rPr>
            </w:pPr>
            <w:r w:rsidRPr="0028337A">
              <w:rPr>
                <w:rFonts w:ascii="Garamond" w:hAnsi="Garamond"/>
                <w:sz w:val="24"/>
                <w:szCs w:val="24"/>
                <w:lang w:val="sq-AL"/>
              </w:rPr>
              <w:t>1.1.3</w:t>
            </w:r>
          </w:p>
        </w:tc>
        <w:tc>
          <w:tcPr>
            <w:tcW w:w="4911" w:type="dxa"/>
          </w:tcPr>
          <w:p w:rsidR="00127EEC" w:rsidRPr="0028337A" w:rsidRDefault="00127EEC" w:rsidP="00127EEC">
            <w:pPr>
              <w:pStyle w:val="Tabele"/>
              <w:rPr>
                <w:rFonts w:ascii="Garamond" w:hAnsi="Garamond"/>
                <w:sz w:val="24"/>
                <w:szCs w:val="24"/>
                <w:lang w:val="sq-AL"/>
              </w:rPr>
            </w:pPr>
            <w:r w:rsidRPr="0028337A">
              <w:rPr>
                <w:rFonts w:ascii="Garamond" w:hAnsi="Garamond"/>
                <w:sz w:val="24"/>
                <w:szCs w:val="24"/>
                <w:lang w:val="sq-AL"/>
              </w:rPr>
              <w:t>Aftësitë teknike të blerësit për të mbështetur Armo-n</w:t>
            </w:r>
          </w:p>
        </w:tc>
        <w:tc>
          <w:tcPr>
            <w:tcW w:w="900" w:type="dxa"/>
          </w:tcPr>
          <w:p w:rsidR="00127EEC" w:rsidRPr="0028337A" w:rsidRDefault="00127EEC" w:rsidP="00127EEC">
            <w:pPr>
              <w:pStyle w:val="Tabele"/>
              <w:jc w:val="center"/>
              <w:rPr>
                <w:rFonts w:ascii="Garamond" w:hAnsi="Garamond"/>
                <w:sz w:val="24"/>
                <w:szCs w:val="24"/>
                <w:lang w:val="sq-AL"/>
              </w:rPr>
            </w:pPr>
          </w:p>
        </w:tc>
        <w:tc>
          <w:tcPr>
            <w:tcW w:w="900" w:type="dxa"/>
          </w:tcPr>
          <w:p w:rsidR="00127EEC" w:rsidRPr="0028337A" w:rsidRDefault="00127EEC" w:rsidP="00127EEC">
            <w:pPr>
              <w:pStyle w:val="Tabele"/>
              <w:jc w:val="center"/>
              <w:rPr>
                <w:rFonts w:ascii="Garamond" w:hAnsi="Garamond"/>
                <w:sz w:val="24"/>
                <w:szCs w:val="24"/>
                <w:lang w:val="sq-AL"/>
              </w:rPr>
            </w:pPr>
          </w:p>
        </w:tc>
        <w:tc>
          <w:tcPr>
            <w:tcW w:w="719" w:type="dxa"/>
          </w:tcPr>
          <w:p w:rsidR="00127EEC" w:rsidRPr="0028337A" w:rsidRDefault="00127EEC" w:rsidP="00127EEC">
            <w:pPr>
              <w:pStyle w:val="Tabele"/>
              <w:jc w:val="center"/>
              <w:rPr>
                <w:rFonts w:ascii="Garamond" w:hAnsi="Garamond"/>
                <w:sz w:val="24"/>
                <w:szCs w:val="24"/>
                <w:lang w:val="sq-AL"/>
              </w:rPr>
            </w:pPr>
          </w:p>
          <w:p w:rsidR="00127EEC" w:rsidRPr="0028337A" w:rsidRDefault="00127EEC" w:rsidP="00127EEC">
            <w:pPr>
              <w:pStyle w:val="Tabele"/>
              <w:jc w:val="center"/>
              <w:rPr>
                <w:rFonts w:ascii="Garamond" w:hAnsi="Garamond"/>
                <w:sz w:val="24"/>
                <w:szCs w:val="24"/>
              </w:rPr>
            </w:pPr>
            <w:r w:rsidRPr="0028337A">
              <w:rPr>
                <w:rFonts w:ascii="Garamond" w:hAnsi="Garamond"/>
                <w:sz w:val="24"/>
                <w:szCs w:val="24"/>
              </w:rPr>
              <w:t>25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Plani i biznesit 2008-2013</w:t>
            </w:r>
          </w:p>
        </w:tc>
        <w:tc>
          <w:tcPr>
            <w:tcW w:w="900" w:type="dxa"/>
          </w:tcPr>
          <w:p w:rsidR="00127EEC" w:rsidRPr="0028337A" w:rsidRDefault="00127EEC" w:rsidP="00127EEC">
            <w:pPr>
              <w:pStyle w:val="Tabele"/>
              <w:jc w:val="center"/>
              <w:rPr>
                <w:rFonts w:ascii="Garamond" w:hAnsi="Garamond"/>
                <w:sz w:val="24"/>
                <w:szCs w:val="24"/>
              </w:rPr>
            </w:pPr>
          </w:p>
        </w:tc>
        <w:tc>
          <w:tcPr>
            <w:tcW w:w="900" w:type="dxa"/>
          </w:tcPr>
          <w:p w:rsidR="00127EEC" w:rsidRPr="0028337A" w:rsidRDefault="00127EEC" w:rsidP="00127EEC">
            <w:pPr>
              <w:pStyle w:val="Tabele"/>
              <w:jc w:val="center"/>
              <w:rPr>
                <w:rFonts w:ascii="Garamond" w:hAnsi="Garamond"/>
                <w:sz w:val="24"/>
                <w:szCs w:val="24"/>
              </w:rPr>
            </w:pPr>
            <w:r w:rsidRPr="0028337A">
              <w:rPr>
                <w:rFonts w:ascii="Garamond" w:hAnsi="Garamond"/>
                <w:sz w:val="24"/>
                <w:szCs w:val="24"/>
              </w:rPr>
              <w:t>70</w:t>
            </w:r>
          </w:p>
        </w:tc>
        <w:tc>
          <w:tcPr>
            <w:tcW w:w="719" w:type="dxa"/>
          </w:tcPr>
          <w:p w:rsidR="00127EEC" w:rsidRPr="0028337A" w:rsidRDefault="00127EEC" w:rsidP="00127EEC">
            <w:pPr>
              <w:pStyle w:val="Tabele"/>
              <w:jc w:val="center"/>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Kapacitetet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2.1.1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Plani(et) për të rritur kapacitetet depozituese dhe gjendjen e lëndëve të para, si dhe atyre ndihmëse, për të arritur dhe garantuar shfrytëzim të vazhdueshëm të rafinerisë dhe reparteve të saj.</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2.1.2</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Planet për rehabilitimin e njësive të prodhimit për të rritur kapacitetin përpunues në përputhje me rritjen e disponueshmërisë së lëndës së parë dhe kërkesat e tregut.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15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2.1.3</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Rehabilitimi i TEC-it të Ballshit, për prodhimin e energjisë elektrike dhe produkteve të tjera të nevojshme për të përmirësuar procesin teknologjik të KPTHN.</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5</w:t>
            </w:r>
          </w:p>
        </w:tc>
      </w:tr>
      <w:tr w:rsidR="0028337A" w:rsidRPr="0028337A">
        <w:tc>
          <w:tcPr>
            <w:tcW w:w="1857" w:type="dxa"/>
          </w:tcPr>
          <w:p w:rsidR="00127EEC" w:rsidRPr="0028337A" w:rsidRDefault="00127EEC" w:rsidP="00127EEC">
            <w:pPr>
              <w:pStyle w:val="Tabele"/>
              <w:rPr>
                <w:rFonts w:ascii="Garamond" w:hAnsi="Garamond"/>
                <w:sz w:val="24"/>
                <w:szCs w:val="24"/>
                <w:lang w:val="en-US"/>
              </w:rPr>
            </w:pPr>
            <w:r w:rsidRPr="0028337A">
              <w:rPr>
                <w:rFonts w:ascii="Garamond" w:hAnsi="Garamond"/>
                <w:sz w:val="24"/>
                <w:szCs w:val="24"/>
              </w:rPr>
              <w:t>2.1.4</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Realizimin e përpunimit të naftës së prodhuar në vend.</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2.2</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Cilësia e produktit.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2.2.1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Plan për zhvillimin e aseteve për prodhimin e benzinës dhe distilateve të ndërmjetme, që përmbushim kërkesat aktuale të specifikimeve në Shqipëri dhe tregjet e eksportit.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2.2.2</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Plan për zhvillimin e aseteve të tjerë për prodhimin e produkteve të tjerë që përmbushin kërkesat aktuale të specifikimeve në Shqipëri dhe tregjet e eksportit.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2.3</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Mjedisi.</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2.3.1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Planet për përmirësimin e performancës mjedisore (ajër, ujë, lëndë të ngurta) në përputhje me kërkesat ligjore në Shqipëri (apo edhe kërkesa ligjore më të rrepta) në të gjitha sitet.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20</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2.4</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Efiçenca.</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2.4.1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Plane për automatizimin e procesit për rritjen e efiçencës së prodhimit dhe cilësisë së produktit.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p w:rsidR="00127EEC" w:rsidRPr="0028337A" w:rsidRDefault="00127EEC" w:rsidP="00127EEC">
            <w:pPr>
              <w:pStyle w:val="Tabele"/>
              <w:rPr>
                <w:rFonts w:ascii="Garamond" w:hAnsi="Garamond"/>
                <w:sz w:val="24"/>
                <w:szCs w:val="24"/>
              </w:rPr>
            </w:pPr>
            <w:r w:rsidRPr="0028337A">
              <w:rPr>
                <w:rFonts w:ascii="Garamond" w:hAnsi="Garamond"/>
                <w:sz w:val="24"/>
                <w:szCs w:val="24"/>
              </w:rPr>
              <w:t>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2.5</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Shëndeti dhe siguria.</w:t>
            </w:r>
          </w:p>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2.5.1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Përmirësime në lidhje me shëndetin dhe sigurinë që duhen zbatuar.</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10</w:t>
            </w:r>
          </w:p>
        </w:tc>
      </w:tr>
      <w:tr w:rsidR="0028337A" w:rsidRPr="0028337A">
        <w:tc>
          <w:tcPr>
            <w:tcW w:w="1857" w:type="dxa"/>
          </w:tcPr>
          <w:p w:rsidR="00127EEC" w:rsidRPr="0028337A" w:rsidRDefault="00127EEC" w:rsidP="00127EEC">
            <w:pPr>
              <w:pStyle w:val="Tabele"/>
              <w:rPr>
                <w:rFonts w:ascii="Garamond" w:hAnsi="Garamond"/>
                <w:sz w:val="24"/>
                <w:szCs w:val="24"/>
              </w:rPr>
            </w:pP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Përmirësime në administrim që duhet zbatuar.</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5</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lastRenderedPageBreak/>
              <w:t>2.6</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Kapitali.</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2.6.1</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Program i plotë i investimeve kapitale gjatë 5 viteve të ardhshëm, bazuar në të mësipërmet.</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10</w:t>
            </w: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2.7</w:t>
            </w:r>
          </w:p>
        </w:tc>
        <w:tc>
          <w:tcPr>
            <w:tcW w:w="4911"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Burimet njerëzore.</w:t>
            </w:r>
          </w:p>
        </w:tc>
        <w:tc>
          <w:tcPr>
            <w:tcW w:w="900" w:type="dxa"/>
          </w:tcPr>
          <w:p w:rsidR="00127EEC" w:rsidRPr="0028337A" w:rsidRDefault="00127EEC" w:rsidP="00127EEC">
            <w:pPr>
              <w:pStyle w:val="Tabele"/>
              <w:rPr>
                <w:rFonts w:ascii="Garamond" w:hAnsi="Garamond"/>
                <w:sz w:val="24"/>
                <w:szCs w:val="24"/>
              </w:rPr>
            </w:pPr>
          </w:p>
        </w:tc>
        <w:tc>
          <w:tcPr>
            <w:tcW w:w="900" w:type="dxa"/>
          </w:tcPr>
          <w:p w:rsidR="00127EEC" w:rsidRPr="0028337A" w:rsidRDefault="00127EEC" w:rsidP="00127EEC">
            <w:pPr>
              <w:pStyle w:val="Tabele"/>
              <w:rPr>
                <w:rFonts w:ascii="Garamond" w:hAnsi="Garamond"/>
                <w:sz w:val="24"/>
                <w:szCs w:val="24"/>
              </w:rPr>
            </w:pPr>
          </w:p>
        </w:tc>
        <w:tc>
          <w:tcPr>
            <w:tcW w:w="719" w:type="dxa"/>
          </w:tcPr>
          <w:p w:rsidR="00127EEC" w:rsidRPr="0028337A" w:rsidRDefault="00127EEC" w:rsidP="00127EEC">
            <w:pPr>
              <w:pStyle w:val="Tabele"/>
              <w:rPr>
                <w:rFonts w:ascii="Garamond" w:hAnsi="Garamond"/>
                <w:sz w:val="24"/>
                <w:szCs w:val="24"/>
              </w:rPr>
            </w:pPr>
          </w:p>
        </w:tc>
      </w:tr>
      <w:tr w:rsidR="0028337A" w:rsidRPr="0028337A">
        <w:tc>
          <w:tcPr>
            <w:tcW w:w="1857" w:type="dxa"/>
          </w:tcPr>
          <w:p w:rsidR="00127EEC" w:rsidRPr="0028337A" w:rsidRDefault="00127EEC" w:rsidP="00127EEC">
            <w:pPr>
              <w:pStyle w:val="Tabele"/>
              <w:rPr>
                <w:rFonts w:ascii="Garamond" w:hAnsi="Garamond"/>
                <w:sz w:val="24"/>
                <w:szCs w:val="24"/>
              </w:rPr>
            </w:pPr>
            <w:r w:rsidRPr="0028337A">
              <w:rPr>
                <w:rFonts w:ascii="Garamond" w:hAnsi="Garamond"/>
                <w:sz w:val="24"/>
                <w:szCs w:val="24"/>
              </w:rPr>
              <w:t>2.7.1</w:t>
            </w:r>
          </w:p>
        </w:tc>
        <w:tc>
          <w:tcPr>
            <w:tcW w:w="4911" w:type="dxa"/>
          </w:tcPr>
          <w:p w:rsidR="00127EEC" w:rsidRPr="0028337A" w:rsidRDefault="00127EEC" w:rsidP="00127EEC">
            <w:pPr>
              <w:pStyle w:val="Tabele"/>
              <w:rPr>
                <w:rFonts w:ascii="Garamond" w:hAnsi="Garamond"/>
                <w:sz w:val="24"/>
                <w:szCs w:val="24"/>
                <w:lang w:val="it-IT"/>
              </w:rPr>
            </w:pPr>
            <w:r w:rsidRPr="0028337A">
              <w:rPr>
                <w:rFonts w:ascii="Garamond" w:hAnsi="Garamond"/>
                <w:sz w:val="24"/>
                <w:szCs w:val="24"/>
                <w:lang w:val="it-IT"/>
              </w:rPr>
              <w:t>Planet për zvogëlimin e impakteve sociale si rezultat i racionalizimit të fuqisë punëtore.</w:t>
            </w:r>
          </w:p>
        </w:tc>
        <w:tc>
          <w:tcPr>
            <w:tcW w:w="900" w:type="dxa"/>
          </w:tcPr>
          <w:p w:rsidR="00127EEC" w:rsidRPr="0028337A" w:rsidRDefault="00127EEC" w:rsidP="00127EEC">
            <w:pPr>
              <w:pStyle w:val="Tabele"/>
              <w:rPr>
                <w:rFonts w:ascii="Garamond" w:hAnsi="Garamond"/>
                <w:sz w:val="24"/>
                <w:szCs w:val="24"/>
                <w:lang w:val="it-IT"/>
              </w:rPr>
            </w:pPr>
          </w:p>
        </w:tc>
        <w:tc>
          <w:tcPr>
            <w:tcW w:w="900" w:type="dxa"/>
          </w:tcPr>
          <w:p w:rsidR="00127EEC" w:rsidRPr="0028337A" w:rsidRDefault="00127EEC" w:rsidP="00127EEC">
            <w:pPr>
              <w:pStyle w:val="Tabele"/>
              <w:rPr>
                <w:rFonts w:ascii="Garamond" w:hAnsi="Garamond"/>
                <w:sz w:val="24"/>
                <w:szCs w:val="24"/>
                <w:lang w:val="it-IT"/>
              </w:rPr>
            </w:pPr>
          </w:p>
        </w:tc>
        <w:tc>
          <w:tcPr>
            <w:tcW w:w="719" w:type="dxa"/>
          </w:tcPr>
          <w:p w:rsidR="00127EEC" w:rsidRPr="0028337A" w:rsidRDefault="00127EEC" w:rsidP="00127EEC">
            <w:pPr>
              <w:pStyle w:val="Tabele"/>
              <w:rPr>
                <w:rFonts w:ascii="Garamond" w:hAnsi="Garamond"/>
                <w:sz w:val="24"/>
                <w:szCs w:val="24"/>
                <w:lang w:val="it-IT"/>
              </w:rPr>
            </w:pPr>
          </w:p>
          <w:p w:rsidR="00127EEC" w:rsidRPr="0028337A" w:rsidRDefault="00127EEC" w:rsidP="00127EEC">
            <w:pPr>
              <w:pStyle w:val="Tabele"/>
              <w:rPr>
                <w:rFonts w:ascii="Garamond" w:hAnsi="Garamond"/>
                <w:sz w:val="24"/>
                <w:szCs w:val="24"/>
                <w:lang w:val="it-IT"/>
              </w:rPr>
            </w:pPr>
            <w:r w:rsidRPr="0028337A">
              <w:rPr>
                <w:rFonts w:ascii="Garamond" w:hAnsi="Garamond"/>
                <w:sz w:val="24"/>
                <w:szCs w:val="24"/>
                <w:lang w:val="it-IT"/>
              </w:rPr>
              <w:t>5</w:t>
            </w:r>
          </w:p>
        </w:tc>
      </w:tr>
      <w:tr w:rsidR="0028337A" w:rsidRPr="0028337A">
        <w:tc>
          <w:tcPr>
            <w:tcW w:w="1857" w:type="dxa"/>
          </w:tcPr>
          <w:p w:rsidR="00127EEC" w:rsidRPr="0028337A" w:rsidRDefault="00127EEC" w:rsidP="00127EEC">
            <w:pPr>
              <w:pStyle w:val="Tabele"/>
              <w:rPr>
                <w:rFonts w:ascii="Garamond" w:hAnsi="Garamond"/>
                <w:sz w:val="24"/>
                <w:szCs w:val="24"/>
                <w:lang w:val="it-IT"/>
              </w:rPr>
            </w:pPr>
            <w:r w:rsidRPr="0028337A">
              <w:rPr>
                <w:rFonts w:ascii="Garamond" w:hAnsi="Garamond"/>
                <w:sz w:val="24"/>
                <w:szCs w:val="24"/>
                <w:lang w:val="it-IT"/>
              </w:rPr>
              <w:t>2.7.2</w:t>
            </w:r>
          </w:p>
        </w:tc>
        <w:tc>
          <w:tcPr>
            <w:tcW w:w="4911" w:type="dxa"/>
          </w:tcPr>
          <w:p w:rsidR="00127EEC" w:rsidRPr="0028337A" w:rsidRDefault="00127EEC" w:rsidP="00127EEC">
            <w:pPr>
              <w:pStyle w:val="Tabele"/>
              <w:rPr>
                <w:rFonts w:ascii="Garamond" w:hAnsi="Garamond"/>
                <w:sz w:val="24"/>
                <w:szCs w:val="24"/>
                <w:lang w:val="it-IT"/>
              </w:rPr>
            </w:pPr>
            <w:r w:rsidRPr="0028337A">
              <w:rPr>
                <w:rFonts w:ascii="Garamond" w:hAnsi="Garamond"/>
                <w:sz w:val="24"/>
                <w:szCs w:val="24"/>
                <w:lang w:val="it-IT"/>
              </w:rPr>
              <w:t>Planet e trajnimit për të përmirësuar aftësitë dhe kompetencat e fuqisë punëtore.</w:t>
            </w:r>
          </w:p>
        </w:tc>
        <w:tc>
          <w:tcPr>
            <w:tcW w:w="900" w:type="dxa"/>
          </w:tcPr>
          <w:p w:rsidR="00127EEC" w:rsidRPr="0028337A" w:rsidRDefault="00127EEC" w:rsidP="00127EEC">
            <w:pPr>
              <w:pStyle w:val="Tabele"/>
              <w:rPr>
                <w:rFonts w:ascii="Garamond" w:hAnsi="Garamond"/>
                <w:sz w:val="24"/>
                <w:szCs w:val="24"/>
                <w:lang w:val="it-IT"/>
              </w:rPr>
            </w:pPr>
          </w:p>
        </w:tc>
        <w:tc>
          <w:tcPr>
            <w:tcW w:w="900" w:type="dxa"/>
          </w:tcPr>
          <w:p w:rsidR="00127EEC" w:rsidRPr="0028337A" w:rsidRDefault="00127EEC" w:rsidP="00127EEC">
            <w:pPr>
              <w:pStyle w:val="Tabele"/>
              <w:rPr>
                <w:rFonts w:ascii="Garamond" w:hAnsi="Garamond"/>
                <w:sz w:val="24"/>
                <w:szCs w:val="24"/>
                <w:lang w:val="it-IT"/>
              </w:rPr>
            </w:pPr>
          </w:p>
        </w:tc>
        <w:tc>
          <w:tcPr>
            <w:tcW w:w="719" w:type="dxa"/>
          </w:tcPr>
          <w:p w:rsidR="00127EEC" w:rsidRPr="0028337A" w:rsidRDefault="00127EEC" w:rsidP="00127EEC">
            <w:pPr>
              <w:pStyle w:val="Tabele"/>
              <w:rPr>
                <w:rFonts w:ascii="Garamond" w:hAnsi="Garamond"/>
                <w:sz w:val="24"/>
                <w:szCs w:val="24"/>
                <w:lang w:val="it-IT"/>
              </w:rPr>
            </w:pPr>
          </w:p>
          <w:p w:rsidR="00127EEC" w:rsidRPr="0028337A" w:rsidRDefault="00127EEC" w:rsidP="00127EEC">
            <w:pPr>
              <w:pStyle w:val="Tabele"/>
              <w:rPr>
                <w:rFonts w:ascii="Garamond" w:hAnsi="Garamond"/>
                <w:sz w:val="24"/>
                <w:szCs w:val="24"/>
                <w:lang w:val="it-IT"/>
              </w:rPr>
            </w:pPr>
            <w:r w:rsidRPr="0028337A">
              <w:rPr>
                <w:rFonts w:ascii="Garamond" w:hAnsi="Garamond"/>
                <w:sz w:val="24"/>
                <w:szCs w:val="24"/>
                <w:lang w:val="it-IT"/>
              </w:rPr>
              <w:t>5</w:t>
            </w:r>
          </w:p>
        </w:tc>
      </w:tr>
      <w:tr w:rsidR="0028337A" w:rsidRPr="0028337A">
        <w:tc>
          <w:tcPr>
            <w:tcW w:w="1857" w:type="dxa"/>
          </w:tcPr>
          <w:p w:rsidR="00127EEC" w:rsidRPr="0028337A" w:rsidRDefault="00127EEC" w:rsidP="00127EEC">
            <w:pPr>
              <w:pStyle w:val="Tabele"/>
              <w:rPr>
                <w:rFonts w:ascii="Garamond" w:hAnsi="Garamond"/>
                <w:i/>
                <w:sz w:val="24"/>
                <w:szCs w:val="24"/>
                <w:lang w:val="it-IT"/>
              </w:rPr>
            </w:pPr>
            <w:r w:rsidRPr="0028337A">
              <w:rPr>
                <w:rFonts w:ascii="Garamond" w:hAnsi="Garamond"/>
                <w:i/>
                <w:sz w:val="24"/>
                <w:szCs w:val="24"/>
                <w:lang w:val="it-IT"/>
              </w:rPr>
              <w:t>3.</w:t>
            </w:r>
          </w:p>
        </w:tc>
        <w:tc>
          <w:tcPr>
            <w:tcW w:w="4911" w:type="dxa"/>
          </w:tcPr>
          <w:p w:rsidR="00127EEC" w:rsidRPr="0028337A" w:rsidRDefault="00127EEC" w:rsidP="00127EEC">
            <w:pPr>
              <w:pStyle w:val="Tabele"/>
              <w:rPr>
                <w:rFonts w:ascii="Garamond" w:hAnsi="Garamond"/>
                <w:i/>
                <w:sz w:val="24"/>
                <w:szCs w:val="24"/>
                <w:lang w:val="it-IT"/>
              </w:rPr>
            </w:pPr>
            <w:r w:rsidRPr="0028337A">
              <w:rPr>
                <w:rFonts w:ascii="Garamond" w:hAnsi="Garamond"/>
                <w:i/>
                <w:sz w:val="24"/>
                <w:szCs w:val="24"/>
                <w:lang w:val="it-IT"/>
              </w:rPr>
              <w:t>Aspekti financiar.</w:t>
            </w:r>
          </w:p>
        </w:tc>
        <w:tc>
          <w:tcPr>
            <w:tcW w:w="900" w:type="dxa"/>
          </w:tcPr>
          <w:p w:rsidR="00127EEC" w:rsidRPr="0028337A" w:rsidRDefault="00987A1D" w:rsidP="00127EEC">
            <w:pPr>
              <w:pStyle w:val="Tabele"/>
              <w:jc w:val="center"/>
              <w:rPr>
                <w:rFonts w:ascii="Garamond" w:hAnsi="Garamond"/>
                <w:i/>
                <w:sz w:val="24"/>
                <w:szCs w:val="24"/>
                <w:lang w:val="it-IT"/>
              </w:rPr>
            </w:pPr>
            <w:r w:rsidRPr="0028337A">
              <w:rPr>
                <w:rFonts w:ascii="Garamond" w:hAnsi="Garamond"/>
                <w:i/>
                <w:sz w:val="24"/>
                <w:szCs w:val="24"/>
                <w:lang w:val="it-IT"/>
              </w:rPr>
              <w:t>75</w:t>
            </w:r>
          </w:p>
        </w:tc>
        <w:tc>
          <w:tcPr>
            <w:tcW w:w="900" w:type="dxa"/>
          </w:tcPr>
          <w:p w:rsidR="00127EEC" w:rsidRPr="0028337A" w:rsidRDefault="00127EEC" w:rsidP="00127EEC">
            <w:pPr>
              <w:pStyle w:val="Tabele"/>
              <w:jc w:val="center"/>
              <w:rPr>
                <w:rFonts w:ascii="Garamond" w:hAnsi="Garamond"/>
                <w:i/>
                <w:sz w:val="24"/>
                <w:szCs w:val="24"/>
                <w:lang w:val="it-IT"/>
              </w:rPr>
            </w:pPr>
          </w:p>
        </w:tc>
        <w:tc>
          <w:tcPr>
            <w:tcW w:w="719" w:type="dxa"/>
          </w:tcPr>
          <w:p w:rsidR="00127EEC" w:rsidRPr="0028337A" w:rsidRDefault="00127EEC" w:rsidP="00127EEC">
            <w:pPr>
              <w:pStyle w:val="Tabele"/>
              <w:rPr>
                <w:rFonts w:ascii="Garamond" w:hAnsi="Garamond"/>
                <w:sz w:val="24"/>
                <w:szCs w:val="24"/>
                <w:lang w:val="it-IT"/>
              </w:rPr>
            </w:pPr>
          </w:p>
        </w:tc>
      </w:tr>
      <w:tr w:rsidR="0028337A" w:rsidRPr="0028337A">
        <w:tc>
          <w:tcPr>
            <w:tcW w:w="1857" w:type="dxa"/>
          </w:tcPr>
          <w:p w:rsidR="00127EEC" w:rsidRPr="0028337A" w:rsidRDefault="00127EEC" w:rsidP="00127EEC">
            <w:pPr>
              <w:pStyle w:val="Tabele"/>
              <w:rPr>
                <w:rFonts w:ascii="Garamond" w:hAnsi="Garamond"/>
                <w:sz w:val="24"/>
                <w:szCs w:val="24"/>
                <w:lang w:val="it-IT"/>
              </w:rPr>
            </w:pPr>
            <w:r w:rsidRPr="0028337A">
              <w:rPr>
                <w:rFonts w:ascii="Garamond" w:hAnsi="Garamond"/>
                <w:sz w:val="24"/>
                <w:szCs w:val="24"/>
                <w:lang w:val="it-IT"/>
              </w:rPr>
              <w:t>3.1</w:t>
            </w:r>
          </w:p>
        </w:tc>
        <w:tc>
          <w:tcPr>
            <w:tcW w:w="4911" w:type="dxa"/>
          </w:tcPr>
          <w:p w:rsidR="00127EEC" w:rsidRPr="0028337A" w:rsidRDefault="00127EEC" w:rsidP="00127EEC">
            <w:pPr>
              <w:pStyle w:val="Tabele"/>
              <w:rPr>
                <w:rFonts w:ascii="Garamond" w:hAnsi="Garamond"/>
                <w:sz w:val="24"/>
                <w:szCs w:val="24"/>
                <w:lang w:val="it-IT"/>
              </w:rPr>
            </w:pPr>
            <w:r w:rsidRPr="0028337A">
              <w:rPr>
                <w:rFonts w:ascii="Garamond" w:hAnsi="Garamond"/>
                <w:sz w:val="24"/>
                <w:szCs w:val="24"/>
                <w:lang w:val="it-IT"/>
              </w:rPr>
              <w:t>Oferta.</w:t>
            </w:r>
          </w:p>
        </w:tc>
        <w:tc>
          <w:tcPr>
            <w:tcW w:w="900" w:type="dxa"/>
          </w:tcPr>
          <w:p w:rsidR="00127EEC" w:rsidRPr="0028337A" w:rsidRDefault="00127EEC" w:rsidP="00127EEC">
            <w:pPr>
              <w:pStyle w:val="Tabele"/>
              <w:jc w:val="center"/>
              <w:rPr>
                <w:rFonts w:ascii="Garamond" w:hAnsi="Garamond"/>
                <w:sz w:val="24"/>
                <w:szCs w:val="24"/>
                <w:lang w:val="it-IT"/>
              </w:rPr>
            </w:pPr>
          </w:p>
        </w:tc>
        <w:tc>
          <w:tcPr>
            <w:tcW w:w="900" w:type="dxa"/>
          </w:tcPr>
          <w:p w:rsidR="00127EEC" w:rsidRPr="0028337A" w:rsidRDefault="00127EEC" w:rsidP="00127EEC">
            <w:pPr>
              <w:pStyle w:val="Tabele"/>
              <w:jc w:val="center"/>
              <w:rPr>
                <w:rFonts w:ascii="Garamond" w:hAnsi="Garamond"/>
                <w:sz w:val="24"/>
                <w:szCs w:val="24"/>
                <w:lang w:val="it-IT"/>
              </w:rPr>
            </w:pPr>
            <w:r w:rsidRPr="0028337A">
              <w:rPr>
                <w:rFonts w:ascii="Garamond" w:hAnsi="Garamond"/>
                <w:sz w:val="24"/>
                <w:szCs w:val="24"/>
                <w:lang w:val="it-IT"/>
              </w:rPr>
              <w:t>100</w:t>
            </w:r>
          </w:p>
        </w:tc>
        <w:tc>
          <w:tcPr>
            <w:tcW w:w="719" w:type="dxa"/>
          </w:tcPr>
          <w:p w:rsidR="00127EEC" w:rsidRPr="0028337A" w:rsidRDefault="00127EEC" w:rsidP="00127EEC">
            <w:pPr>
              <w:pStyle w:val="Tabele"/>
              <w:rPr>
                <w:rFonts w:ascii="Garamond" w:hAnsi="Garamond"/>
                <w:sz w:val="24"/>
                <w:szCs w:val="24"/>
                <w:lang w:val="it-IT"/>
              </w:rPr>
            </w:pPr>
          </w:p>
        </w:tc>
      </w:tr>
    </w:tbl>
    <w:p w:rsidR="000178C2" w:rsidRPr="0028337A" w:rsidRDefault="000178C2" w:rsidP="00127EEC">
      <w:pPr>
        <w:pStyle w:val="Paragrafi"/>
        <w:rPr>
          <w:rFonts w:ascii="Garamond" w:hAnsi="Garamond"/>
          <w:sz w:val="24"/>
          <w:szCs w:val="24"/>
        </w:rPr>
      </w:pPr>
    </w:p>
    <w:sectPr w:rsidR="000178C2" w:rsidRPr="0028337A"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EEC"/>
    <w:rsid w:val="000178C2"/>
    <w:rsid w:val="000A780A"/>
    <w:rsid w:val="00117678"/>
    <w:rsid w:val="00127EEC"/>
    <w:rsid w:val="001D4B00"/>
    <w:rsid w:val="00211EE2"/>
    <w:rsid w:val="0028337A"/>
    <w:rsid w:val="003218C2"/>
    <w:rsid w:val="003B3DD8"/>
    <w:rsid w:val="004D5D12"/>
    <w:rsid w:val="005D3437"/>
    <w:rsid w:val="009723D5"/>
    <w:rsid w:val="00987A1D"/>
    <w:rsid w:val="00A52788"/>
    <w:rsid w:val="00BD1D25"/>
    <w:rsid w:val="00C84B66"/>
    <w:rsid w:val="00F87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7AA77"/>
  <w15:chartTrackingRefBased/>
  <w15:docId w15:val="{F24272D1-C64B-47FB-9257-8AFEB49A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EEC"/>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127EEC"/>
    <w:rPr>
      <w:rFonts w:ascii="CG Times" w:hAnsi="CG Times"/>
      <w:b/>
      <w:sz w:val="22"/>
      <w:szCs w:val="22"/>
      <w:lang w:val="en-GB" w:eastAsia="en-US" w:bidi="ar-SA"/>
    </w:rPr>
  </w:style>
  <w:style w:type="character" w:customStyle="1" w:styleId="TitulliChar">
    <w:name w:val="Titulli Char"/>
    <w:basedOn w:val="DefaultParagraphFont"/>
    <w:link w:val="Titulli"/>
    <w:rsid w:val="00127EEC"/>
    <w:rPr>
      <w:rFonts w:ascii="CG Times" w:hAnsi="CG Times"/>
      <w:b/>
      <w:caps/>
      <w:sz w:val="22"/>
      <w:szCs w:val="22"/>
      <w:lang w:val="en-GB" w:eastAsia="en-US" w:bidi="ar-SA"/>
    </w:rPr>
  </w:style>
  <w:style w:type="character" w:customStyle="1" w:styleId="VENDOSIChar">
    <w:name w:val="VENDOSI Char"/>
    <w:basedOn w:val="DefaultParagraphFont"/>
    <w:link w:val="VENDOSI"/>
    <w:rsid w:val="00127EEC"/>
    <w:rPr>
      <w:rFonts w:ascii="CG Times" w:hAnsi="CG Times"/>
      <w:caps/>
      <w:sz w:val="22"/>
      <w:szCs w:val="22"/>
      <w:lang w:val="en-GB" w:eastAsia="en-US" w:bidi="ar-SA"/>
    </w:rPr>
  </w:style>
  <w:style w:type="character" w:customStyle="1" w:styleId="ParagrafiChar">
    <w:name w:val="Paragrafi Char"/>
    <w:basedOn w:val="DefaultParagraphFont"/>
    <w:link w:val="Paragrafi"/>
    <w:rsid w:val="00127EEC"/>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3884</Words>
  <Characters>22142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7</cp:revision>
  <dcterms:created xsi:type="dcterms:W3CDTF">2025-11-04T09:50:00Z</dcterms:created>
  <dcterms:modified xsi:type="dcterms:W3CDTF">2025-11-04T09:54:00Z</dcterms:modified>
</cp:coreProperties>
</file>