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AE3" w:rsidRPr="004554C0" w:rsidRDefault="00312AE3" w:rsidP="00312AE3">
      <w:pPr>
        <w:pStyle w:val="Akti"/>
        <w:rPr>
          <w:lang w:val="sq-AL"/>
        </w:rPr>
      </w:pPr>
      <w:bookmarkStart w:id="0" w:name="_GoBack"/>
      <w:bookmarkEnd w:id="0"/>
      <w:r w:rsidRPr="004554C0">
        <w:rPr>
          <w:lang w:val="sq-AL"/>
        </w:rPr>
        <w:t>VENDIM</w:t>
      </w:r>
    </w:p>
    <w:p w:rsidR="00312AE3" w:rsidRPr="004554C0" w:rsidRDefault="00312AE3" w:rsidP="00312AE3">
      <w:pPr>
        <w:pStyle w:val="NumriData"/>
        <w:rPr>
          <w:lang w:val="sq-AL"/>
        </w:rPr>
      </w:pPr>
      <w:r w:rsidRPr="004554C0">
        <w:rPr>
          <w:lang w:val="sq-AL"/>
        </w:rPr>
        <w:t>Nr.97, datë 3.2.2008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</w:p>
    <w:p w:rsidR="00312AE3" w:rsidRPr="004554C0" w:rsidRDefault="00312AE3" w:rsidP="00312AE3">
      <w:pPr>
        <w:pStyle w:val="Titulli"/>
        <w:rPr>
          <w:lang w:val="sq-AL"/>
        </w:rPr>
      </w:pPr>
      <w:r w:rsidRPr="004554C0">
        <w:rPr>
          <w:lang w:val="sq-AL"/>
        </w:rPr>
        <w:t>PËR</w:t>
      </w:r>
      <w:r>
        <w:rPr>
          <w:lang w:val="sq-AL"/>
        </w:rPr>
        <w:t xml:space="preserve"> </w:t>
      </w:r>
      <w:r w:rsidRPr="004554C0">
        <w:rPr>
          <w:lang w:val="sq-AL"/>
        </w:rPr>
        <w:t>PROCEDURAT E PRIVATIZIMIT TË BANESAVE, OBJEKT I LIGJIT NR.7652, DATË</w:t>
      </w:r>
      <w:r>
        <w:rPr>
          <w:lang w:val="sq-AL"/>
        </w:rPr>
        <w:t xml:space="preserve"> 23.12.1992</w:t>
      </w:r>
      <w:r w:rsidRPr="004554C0">
        <w:rPr>
          <w:lang w:val="sq-AL"/>
        </w:rPr>
        <w:t xml:space="preserve"> “PËR PRIVATIZIMIN E BANESAVE SHTETËRORE”, DHE I LIGJIT NR.9321, DATË</w:t>
      </w:r>
      <w:r>
        <w:rPr>
          <w:lang w:val="sq-AL"/>
        </w:rPr>
        <w:t xml:space="preserve"> 25.11.2004</w:t>
      </w:r>
      <w:r w:rsidRPr="004554C0">
        <w:rPr>
          <w:lang w:val="sq-AL"/>
        </w:rPr>
        <w:t xml:space="preserve"> “PËR PRIVATIZIMIN E BANESAVE DHE OBJEKTEVE, TË KTHYERA NË BANESA ME FONDET E SHOQËRIVE DHE NDËRMARRJEVE SHTETËRORE”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</w:p>
    <w:p w:rsidR="00312AE3" w:rsidRPr="004554C0" w:rsidRDefault="00312AE3" w:rsidP="00312AE3">
      <w:pPr>
        <w:pStyle w:val="BazLigjPropozues"/>
        <w:rPr>
          <w:lang w:val="sq-AL"/>
        </w:rPr>
      </w:pPr>
      <w:r w:rsidRPr="004554C0">
        <w:rPr>
          <w:lang w:val="sq-AL"/>
        </w:rPr>
        <w:t>Në mbështetje të nenit 100 të Kushtetutës dhe të nene</w:t>
      </w:r>
      <w:r>
        <w:rPr>
          <w:lang w:val="sq-AL"/>
        </w:rPr>
        <w:t>ve 38, pika 1, dhe 39/1, pika 1</w:t>
      </w:r>
      <w:r w:rsidRPr="004554C0">
        <w:rPr>
          <w:lang w:val="sq-AL"/>
        </w:rPr>
        <w:t xml:space="preserve"> të ligjit nr.9232, datë 13.5.2</w:t>
      </w:r>
      <w:r>
        <w:rPr>
          <w:lang w:val="sq-AL"/>
        </w:rPr>
        <w:t>004</w:t>
      </w:r>
      <w:r w:rsidRPr="004554C0">
        <w:rPr>
          <w:lang w:val="sq-AL"/>
        </w:rPr>
        <w:t xml:space="preserve"> “Për programet sociale për strehimin e banorëve të zonave urbane”, të ndryshuar, me propozimin e Ministrit të Punëve Publike, Transportit dhe Telekomunikacionit, Këshilli i Ministrave 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</w:p>
    <w:p w:rsidR="00312AE3" w:rsidRPr="004554C0" w:rsidRDefault="00312AE3" w:rsidP="00312AE3">
      <w:pPr>
        <w:pStyle w:val="VENDOSI"/>
        <w:rPr>
          <w:lang w:val="sq-AL"/>
        </w:rPr>
      </w:pPr>
      <w:r w:rsidRPr="004554C0">
        <w:rPr>
          <w:lang w:val="sq-AL"/>
        </w:rPr>
        <w:t>VENDOSI: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1. Privatizimi i banesave, të ndërtuara nga shteti para vitit 1992, që kanë qenë objekt i ligjit nr.7652, datë</w:t>
      </w:r>
      <w:r>
        <w:rPr>
          <w:szCs w:val="22"/>
          <w:lang w:val="sq-AL"/>
        </w:rPr>
        <w:t xml:space="preserve"> 23.12.1992 </w:t>
      </w:r>
      <w:r w:rsidRPr="004554C0">
        <w:rPr>
          <w:szCs w:val="22"/>
          <w:lang w:val="sq-AL"/>
        </w:rPr>
        <w:t>“Për privatizimin e banesave shtetërore”, dhe që, pas hyrjes në fuqi të ligjit nr.9232, datë</w:t>
      </w:r>
      <w:r>
        <w:rPr>
          <w:szCs w:val="22"/>
          <w:lang w:val="sq-AL"/>
        </w:rPr>
        <w:t xml:space="preserve"> 13.5.2004</w:t>
      </w:r>
      <w:r w:rsidRPr="004554C0">
        <w:rPr>
          <w:szCs w:val="22"/>
          <w:lang w:val="sq-AL"/>
        </w:rPr>
        <w:t xml:space="preserve"> “Për programet sociale për strehimin e banorëve të zonave urbane”, të ndryshuar, figurojnë në pronësi të shtetit, të kryhet në emër të personit, i cili ka pasur kontratë qiraje me shtetin para vitit 1992, dh</w:t>
      </w:r>
      <w:r>
        <w:rPr>
          <w:szCs w:val="22"/>
          <w:lang w:val="sq-AL"/>
        </w:rPr>
        <w:t>e të personave të tjerë madhorë</w:t>
      </w:r>
      <w:r w:rsidRPr="004554C0">
        <w:rPr>
          <w:szCs w:val="22"/>
          <w:lang w:val="sq-AL"/>
        </w:rPr>
        <w:t xml:space="preserve"> të familjes, që jetojnë me të.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2. Privatizimi i banesave dhe i objekteve të kthyera në banesa, që kanë qenë objekt i ligjit nr.9321, datë</w:t>
      </w:r>
      <w:r>
        <w:rPr>
          <w:szCs w:val="22"/>
          <w:lang w:val="sq-AL"/>
        </w:rPr>
        <w:t xml:space="preserve"> 25.11.2004</w:t>
      </w:r>
      <w:r w:rsidRPr="004554C0">
        <w:rPr>
          <w:szCs w:val="22"/>
          <w:lang w:val="sq-AL"/>
        </w:rPr>
        <w:t xml:space="preserve"> “Për privatizimin e banesave dhe objekteve, të kthyera në banesa me fondet e shoqërive dhe ndërmarrjeve shtetërore”, dhe që, pas hyrjes në fuqi të ligjit nr.9232, datë</w:t>
      </w:r>
      <w:r>
        <w:rPr>
          <w:szCs w:val="22"/>
          <w:lang w:val="sq-AL"/>
        </w:rPr>
        <w:t xml:space="preserve"> 13.5.2004</w:t>
      </w:r>
      <w:r w:rsidRPr="004554C0">
        <w:rPr>
          <w:szCs w:val="22"/>
          <w:lang w:val="sq-AL"/>
        </w:rPr>
        <w:t xml:space="preserve"> “Për programet sociale për strehimin e banorëve të zonave urbane”, të ndryshuar, rezultojnë ende të paprivatizuara, të bëhet në emër të personit, që ka emrin në listën e trashëguar nga ish-ndërmarrjet shtetërore, dh</w:t>
      </w:r>
      <w:r>
        <w:rPr>
          <w:szCs w:val="22"/>
          <w:lang w:val="sq-AL"/>
        </w:rPr>
        <w:t>e të personave të tjerë madhorë</w:t>
      </w:r>
      <w:r w:rsidRPr="004554C0">
        <w:rPr>
          <w:szCs w:val="22"/>
          <w:lang w:val="sq-AL"/>
        </w:rPr>
        <w:t xml:space="preserve"> të familjes, që jetojnë me të, pas miratimit nga organet e qeverisjes vendore.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3. Për organizimin e punës, plotësimin e dokumentacionit të nevojshëm dhe përgatitjen e vendimit të privatizimit, bashkitë dhe komunat të ngarkojnë strukturat përgjegjëse, që mbulojnë çështjet e strehimit. Njësia përgjegjëse për privatizimin ka për detyrë: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a) të plotësojë, në bashkëpunim me perso</w:t>
      </w:r>
      <w:r>
        <w:rPr>
          <w:szCs w:val="22"/>
          <w:lang w:val="sq-AL"/>
        </w:rPr>
        <w:t>nat e përcaktuar në pikat 1 e 2</w:t>
      </w:r>
      <w:r w:rsidRPr="004554C0">
        <w:rPr>
          <w:szCs w:val="22"/>
          <w:lang w:val="sq-AL"/>
        </w:rPr>
        <w:t xml:space="preserve"> të këtij vendimi, formularët e privatizimit;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b) të llogarisë tarifën e privatizimit, për çdo familje;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c) të përgatisë dosjen e privatizimit;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ç) të përgatisë kontratën e privatizimit.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4. Tarifa e privatizimit të</w:t>
      </w:r>
      <w:r>
        <w:rPr>
          <w:szCs w:val="22"/>
          <w:lang w:val="sq-AL"/>
        </w:rPr>
        <w:t xml:space="preserve"> banesave, sipas pikave 1 e 2</w:t>
      </w:r>
      <w:r w:rsidRPr="004554C0">
        <w:rPr>
          <w:szCs w:val="22"/>
          <w:lang w:val="sq-AL"/>
        </w:rPr>
        <w:t xml:space="preserve"> të këtij vendimi, të jetë sipas tabelës nr.1, që i bashkëlidhet këtij vendimi. Tarifat e privatizimit korrigjohen, për efekt të nivelit të banimit dhe të vendndodhjes, sipas koeficientëve, të përcaktuar në tabelat 2 e 3, që i bashkëlidhen këtij vendimi. Gjendja familjare dhe rrethi i </w:t>
      </w:r>
      <w:r>
        <w:rPr>
          <w:szCs w:val="22"/>
          <w:lang w:val="sq-AL"/>
        </w:rPr>
        <w:t>përfituesve, sipas pikave 1 e 2,</w:t>
      </w:r>
      <w:r w:rsidRPr="004554C0">
        <w:rPr>
          <w:szCs w:val="22"/>
          <w:lang w:val="sq-AL"/>
        </w:rPr>
        <w:t xml:space="preserve"> të këtij vendimi, të përcaktohen sipas certifikatës së gjendjes familjare, të muajt dhjetor 1992. Tarifat e privatizimit, sipas tabelës 1, të shumëzohen me indeksin e korrigjimit të çmimeve. Për efekt të llogaritjes së këtij indeksi të merret, për bazë, muaji dhjetor 1992.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5. Për efekt privatizimi, sipas këtij vendimi, banesa të kategorisë së parë vlerësohen banesat, që ndodhen në rrugë kryesore. Ndarja sipas kategorive bëhet nga strukturat e përmendura në pikë</w:t>
      </w:r>
      <w:r>
        <w:rPr>
          <w:szCs w:val="22"/>
          <w:lang w:val="sq-AL"/>
        </w:rPr>
        <w:t>n 3</w:t>
      </w:r>
      <w:r w:rsidRPr="004554C0">
        <w:rPr>
          <w:szCs w:val="22"/>
          <w:lang w:val="sq-AL"/>
        </w:rPr>
        <w:t xml:space="preserve"> të këtij vendimi.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6. Kur banesa është pjesë e një bashkëpronësie, sipërfaqja e truallit, që privatizohet, së bashku me apartamentin përcaktohen sipas kuotës së pjesëmarrjes në bashkëpronësi. Në rastin kur banesa është individuale, sipërfaqja e truallit, që privatizohet, së bashku me banesën përcaktohen në bazë të kontratës, që perso</w:t>
      </w:r>
      <w:r>
        <w:rPr>
          <w:szCs w:val="22"/>
          <w:lang w:val="sq-AL"/>
        </w:rPr>
        <w:t>ni, i përcaktuar në pikat 1 e 2</w:t>
      </w:r>
      <w:r w:rsidRPr="004554C0">
        <w:rPr>
          <w:szCs w:val="22"/>
          <w:lang w:val="sq-AL"/>
        </w:rPr>
        <w:t xml:space="preserve"> të këtij vendimi, ka pasur me shtetin.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7. Tarifat e privatizimit të truallit përcaktohen, si më poshtë vijon:</w:t>
      </w:r>
    </w:p>
    <w:p w:rsidR="00312AE3" w:rsidRPr="00053D8B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 xml:space="preserve">a) Për qytetet Tiranë, Durrës, Shkodër, Vlorë, Sarandë, Korçë, Gjirokastër, Fier, Lushnjë, Elbasan, Pogradec, Lezhë, Krujë dhe Kavajë.                         </w:t>
      </w:r>
      <w:r>
        <w:rPr>
          <w:szCs w:val="22"/>
          <w:lang w:val="sq-AL"/>
        </w:rPr>
        <w:tab/>
      </w:r>
      <w:r>
        <w:rPr>
          <w:szCs w:val="22"/>
          <w:lang w:val="sq-AL"/>
        </w:rPr>
        <w:tab/>
      </w:r>
      <w:r>
        <w:rPr>
          <w:szCs w:val="22"/>
          <w:lang w:val="sq-AL"/>
        </w:rPr>
        <w:tab/>
        <w:t xml:space="preserve">  1</w:t>
      </w:r>
      <w:r w:rsidRPr="004554C0">
        <w:rPr>
          <w:szCs w:val="22"/>
          <w:lang w:val="sq-AL"/>
        </w:rPr>
        <w:t>080 lekë/m</w:t>
      </w:r>
      <w:r w:rsidRPr="00BD326C">
        <w:rPr>
          <w:szCs w:val="22"/>
          <w:vertAlign w:val="superscript"/>
          <w:lang w:val="sq-AL"/>
        </w:rPr>
        <w:t>2</w:t>
      </w:r>
      <w:r>
        <w:rPr>
          <w:szCs w:val="22"/>
          <w:lang w:val="sq-AL"/>
        </w:rPr>
        <w:t>;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 xml:space="preserve">b) Brenda vijave kufizuese të qyteteve të tjera                             </w:t>
      </w:r>
      <w:r>
        <w:rPr>
          <w:szCs w:val="22"/>
          <w:lang w:val="sq-AL"/>
        </w:rPr>
        <w:tab/>
        <w:t xml:space="preserve">    </w:t>
      </w:r>
      <w:r w:rsidRPr="004554C0">
        <w:rPr>
          <w:szCs w:val="22"/>
          <w:lang w:val="sq-AL"/>
        </w:rPr>
        <w:t>720 lekë/m</w:t>
      </w:r>
      <w:r w:rsidRPr="00BD326C">
        <w:rPr>
          <w:szCs w:val="22"/>
          <w:vertAlign w:val="superscript"/>
          <w:lang w:val="sq-AL"/>
        </w:rPr>
        <w:t>2</w:t>
      </w:r>
      <w:r w:rsidRPr="004554C0">
        <w:rPr>
          <w:szCs w:val="22"/>
          <w:lang w:val="sq-AL"/>
        </w:rPr>
        <w:t>;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 xml:space="preserve">c) Për zonat rurale, kjo tarifë llogaritet duke iu referuar tarifës së privatizimit të truallit në zonën periferike të qytetit më të afërt me banesën, që do të privatizohet, dhe duke e shumëzuar këtë </w:t>
      </w:r>
      <w:r w:rsidRPr="004554C0">
        <w:rPr>
          <w:szCs w:val="22"/>
          <w:lang w:val="sq-AL"/>
        </w:rPr>
        <w:lastRenderedPageBreak/>
        <w:t>tarifë me koeficientin 0.3.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Tarifat, sipas kësaj pike, të shumëzohen me indeksin e korrig</w:t>
      </w:r>
      <w:r>
        <w:rPr>
          <w:szCs w:val="22"/>
          <w:lang w:val="sq-AL"/>
        </w:rPr>
        <w:t>jimit të çmimeve, sipas pikës 4</w:t>
      </w:r>
      <w:r w:rsidRPr="004554C0">
        <w:rPr>
          <w:szCs w:val="22"/>
          <w:lang w:val="sq-AL"/>
        </w:rPr>
        <w:t xml:space="preserve"> të këtij vendimi.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8. Në rastin kur trualli ka pronar një subjekt privat, të njohur nga komisioni i kthimit dhe kompensimit të pronave, zbatohen dispozitat e parashikuara në ligjin nr.9235, datë 29.7.2004, “Për kthimin dhe kompensimin e pronës”, të ndryshuar. Fondet e mbledhura nga shitja e objektit të përdoren për sistemimin e familjeve, që janë strehuar në këto objekte nga institucionet shtetërore.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9. Në rastin kur trualli, mbi të cilin është ngritur objekti i kthyer në banesë, është pronë e shtetit, familja ka të drejtë ta privatizojë objektin, ndërsa trualli mbetet pronë e shtetit. Në rastin kur zona rizhvillohet sipas planeve të zhvillimit urbanistik, subjekti i trajtuar me strehim përfiton strehim sipas normave në fuqi dhe gjendjes familjare. E drejta e përfitimit nga rizhvillimi i takon subjektit shtetëror, pronar të truallit.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10. Tarifa e privatizimit të banesës mund të shlyhet në mënyrë të menjëhershme ose me këste, sipas kërkesës, që bën pe</w:t>
      </w:r>
      <w:r>
        <w:rPr>
          <w:szCs w:val="22"/>
          <w:lang w:val="sq-AL"/>
        </w:rPr>
        <w:t>rsoni, sipas pikave 1 e 2</w:t>
      </w:r>
      <w:r w:rsidRPr="004554C0">
        <w:rPr>
          <w:szCs w:val="22"/>
          <w:lang w:val="sq-AL"/>
        </w:rPr>
        <w:t xml:space="preserve"> të këtij vendimi. Tarifa e privatizimit të truallit të paguhet në mënyrë të menjëhershme.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 xml:space="preserve">11. </w:t>
      </w:r>
      <w:r>
        <w:rPr>
          <w:szCs w:val="22"/>
          <w:lang w:val="sq-AL"/>
        </w:rPr>
        <w:t>V</w:t>
      </w:r>
      <w:r w:rsidRPr="004554C0">
        <w:rPr>
          <w:szCs w:val="22"/>
          <w:lang w:val="sq-AL"/>
        </w:rPr>
        <w:t>eprimet e privatizimit të kryhen pas plotësimit të formularit 1, që i bashkëlidhet këtij vendimi, nga personi, sipas pikave 1 e 2. Formulari shoqërohet me planimetrinë e apartamentit, e cila hartohet dhe nënshkruhet nga projektues të licencuar, sipas matjeve në vend. Kur banesa është individuale, planimetria e banesës shoqërohet edhe me planvendosjen dhe planimetrinë e truallit.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12. Formulari nënshkruhet nga personat e përcaktuar në pikat 1 e 2 dhe nga drejtuesi i strukturës përgjegjëse, të përmendur në pikë</w:t>
      </w:r>
      <w:r>
        <w:rPr>
          <w:szCs w:val="22"/>
          <w:lang w:val="sq-AL"/>
        </w:rPr>
        <w:t>n 3</w:t>
      </w:r>
      <w:r w:rsidRPr="004554C0">
        <w:rPr>
          <w:szCs w:val="22"/>
          <w:lang w:val="sq-AL"/>
        </w:rPr>
        <w:t xml:space="preserve"> të këtij vendimi, dhe mbahet në dy kopje, njëra nga personi dhe tjetra futet në dosjen e privatizimit.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13. Pas dorëzimit të formularit, përgjegjësi i njësisë së privatizimit përgatit dosjen e privatizimit, e cila përmban: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a) kërkesën e personit për privatizimin e banesës;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b) certifikatën e gjendjes familjare, sipas përcaktimeve të bëra në pikë</w:t>
      </w:r>
      <w:r>
        <w:rPr>
          <w:szCs w:val="22"/>
          <w:lang w:val="sq-AL"/>
        </w:rPr>
        <w:t>n 4</w:t>
      </w:r>
      <w:r w:rsidRPr="004554C0">
        <w:rPr>
          <w:szCs w:val="22"/>
          <w:lang w:val="sq-AL"/>
        </w:rPr>
        <w:t xml:space="preserve"> të këtij vendimi;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c) vlerën e tarifës së privatizimit të truallit dhe të apartamentit a banesës individuale;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ç) planimetrinë e apartamentit ose, në rastin e banesave individuale, planvendosjen e banesës dhe planimetrinë e truallit.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14. Kryetari i bashkisë a komunës apo personi i autorizuar prej tij lidh kontratën e privatizimit, ku përcaktohen: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a) vlera e tarifës, që i takon të paguajë personi, për privatizimin e truallit dhe të apartamentit a banesës individuale;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b) mënyra e shlyerjes së vlerës;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c) mënyra e arkëtimit të vlerës;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ç) s</w:t>
      </w:r>
      <w:r w:rsidRPr="004554C0">
        <w:rPr>
          <w:szCs w:val="22"/>
          <w:lang w:val="sq-AL"/>
        </w:rPr>
        <w:t>anksionet, në rastin e mosshlyerjes në kohë të detyrimit.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Kontrata mbahet në 3 kopje, nga të cilat njërën e merr personi, tjetra mbahet në dosjen e privatizimit dhe e treta i dërgohet për regjistrim zyrës vendore të regjistrimit të pasurive të paluajtshme (ZVRPP). Regjistrimi në ZVRPP i këtyre banesave të bëhet me dokumentacionin, që disponohet.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15. Me regjistrimin në ZVRPP personi fiton të drejtën e pronësisë mbi apartamentin. Në rastin kur tarifa e privatizimit shlyhet me këste, regjistrimi i pronësisë në ZVRPP bëhet duke e ngarkuar pronën me barrë hipotekore, deri në shlyerjen e plotë të detyrimit.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16. Kur banesat, e përcaktuara në pikë</w:t>
      </w:r>
      <w:r>
        <w:rPr>
          <w:szCs w:val="22"/>
          <w:lang w:val="sq-AL"/>
        </w:rPr>
        <w:t>n 2</w:t>
      </w:r>
      <w:r w:rsidRPr="004554C0">
        <w:rPr>
          <w:szCs w:val="22"/>
          <w:lang w:val="sq-AL"/>
        </w:rPr>
        <w:t xml:space="preserve"> të këtij vendimi, janë përfunduar me financime të vetë qytetarëve, shteti nuk mbart detyrim për kthimin e investimit të bërë nga qytetari.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17. Ngarkohet Enti Kombë</w:t>
      </w:r>
      <w:r>
        <w:rPr>
          <w:szCs w:val="22"/>
          <w:lang w:val="sq-AL"/>
        </w:rPr>
        <w:t>tar i Ba</w:t>
      </w:r>
      <w:r w:rsidRPr="004554C0">
        <w:rPr>
          <w:szCs w:val="22"/>
          <w:lang w:val="sq-AL"/>
        </w:rPr>
        <w:t>nesave, që, brenda një muaji nga hyrja në fuqi e këtij vendimi, t’ia dorëzojë dokumentacionin e këtyre banesave bashkisë a komunës, ku ajo ndodhet.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18. Shumat e arkëtuara nga privatizimi i truallit dhe i ban</w:t>
      </w:r>
      <w:r>
        <w:rPr>
          <w:szCs w:val="22"/>
          <w:lang w:val="sq-AL"/>
        </w:rPr>
        <w:t>esës depozitohen në Buxhetin e S</w:t>
      </w:r>
      <w:r w:rsidRPr="004554C0">
        <w:rPr>
          <w:szCs w:val="22"/>
          <w:lang w:val="sq-AL"/>
        </w:rPr>
        <w:t>htetit, në “Fondin e kompensimit”, të parashikuar në ligjin nr.9235, datë</w:t>
      </w:r>
      <w:r>
        <w:rPr>
          <w:szCs w:val="22"/>
          <w:lang w:val="sq-AL"/>
        </w:rPr>
        <w:t xml:space="preserve"> 27.7.2004</w:t>
      </w:r>
      <w:r w:rsidRPr="004554C0">
        <w:rPr>
          <w:szCs w:val="22"/>
          <w:lang w:val="sq-AL"/>
        </w:rPr>
        <w:t xml:space="preserve"> “Për kthimin dhe kompensimin e pronës”, të ndryshuar, për t’u përdorur për shlyerjen e pronarëve të trojeve.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 xml:space="preserve">19. Ngarkohen organet e qeverisjes vendore, Enti Kombëtar i Banesave dhe zyrat vendore të regjistrimit të pasurive të paluajtshme për zbatimin e këtij vendimi. 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Ky vendim hyn në fuqi pas botimit në</w:t>
      </w:r>
      <w:r>
        <w:rPr>
          <w:szCs w:val="22"/>
          <w:lang w:val="sq-AL"/>
        </w:rPr>
        <w:t xml:space="preserve"> </w:t>
      </w:r>
      <w:r w:rsidRPr="004554C0">
        <w:rPr>
          <w:szCs w:val="22"/>
          <w:lang w:val="sq-AL"/>
        </w:rPr>
        <w:t xml:space="preserve">Fletoren </w:t>
      </w:r>
      <w:r>
        <w:rPr>
          <w:szCs w:val="22"/>
          <w:lang w:val="sq-AL"/>
        </w:rPr>
        <w:t>Zyrtare</w:t>
      </w:r>
      <w:r w:rsidRPr="004554C0">
        <w:rPr>
          <w:szCs w:val="22"/>
          <w:lang w:val="sq-AL"/>
        </w:rPr>
        <w:t>.</w:t>
      </w:r>
    </w:p>
    <w:p w:rsidR="00312AE3" w:rsidRPr="004554C0" w:rsidRDefault="00312AE3" w:rsidP="00312AE3">
      <w:pPr>
        <w:pStyle w:val="Paragrafi"/>
        <w:rPr>
          <w:szCs w:val="22"/>
          <w:lang w:val="sq-AL"/>
        </w:rPr>
      </w:pPr>
    </w:p>
    <w:p w:rsidR="00312AE3" w:rsidRPr="004554C0" w:rsidRDefault="00312AE3" w:rsidP="00312AE3">
      <w:pPr>
        <w:pStyle w:val="Autoriteti"/>
        <w:rPr>
          <w:lang w:val="sq-AL"/>
        </w:rPr>
      </w:pPr>
      <w:r w:rsidRPr="004554C0">
        <w:rPr>
          <w:lang w:val="sq-AL"/>
        </w:rPr>
        <w:t xml:space="preserve">KRYEMINISTRI </w:t>
      </w:r>
    </w:p>
    <w:p w:rsidR="00312AE3" w:rsidRDefault="00312AE3" w:rsidP="00312AE3">
      <w:pPr>
        <w:pStyle w:val="AutoritetiEmer"/>
        <w:rPr>
          <w:lang w:val="sq-AL"/>
        </w:rPr>
      </w:pPr>
      <w:r w:rsidRPr="004554C0">
        <w:rPr>
          <w:lang w:val="sq-AL"/>
        </w:rPr>
        <w:t xml:space="preserve">Sali Berisha </w:t>
      </w:r>
    </w:p>
    <w:p w:rsidR="00312AE3" w:rsidRDefault="00312AE3" w:rsidP="00264A84">
      <w:pPr>
        <w:pStyle w:val="Paragrafi"/>
        <w:rPr>
          <w:lang w:val="sq-AL"/>
        </w:rPr>
      </w:pPr>
    </w:p>
    <w:p w:rsidR="00312AE3" w:rsidRPr="00264A84" w:rsidRDefault="00312AE3" w:rsidP="00264A84">
      <w:pPr>
        <w:pStyle w:val="Paragrafi"/>
      </w:pPr>
    </w:p>
    <w:p w:rsidR="00312AE3" w:rsidRPr="00E36AC6" w:rsidRDefault="00312AE3" w:rsidP="00312AE3">
      <w:pPr>
        <w:pStyle w:val="Paragrafi"/>
        <w:rPr>
          <w:lang w:val="it-IT"/>
        </w:rPr>
      </w:pPr>
      <w:r w:rsidRPr="00E36AC6">
        <w:rPr>
          <w:lang w:val="it-IT"/>
        </w:rPr>
        <w:t>Tabel</w:t>
      </w:r>
      <w:r>
        <w:rPr>
          <w:lang w:val="it-IT"/>
        </w:rPr>
        <w:t>a</w:t>
      </w:r>
      <w:r w:rsidRPr="00E36AC6">
        <w:rPr>
          <w:lang w:val="it-IT"/>
        </w:rPr>
        <w:t xml:space="preserve"> 1 </w:t>
      </w:r>
      <w:r>
        <w:rPr>
          <w:lang w:val="it-IT"/>
        </w:rPr>
        <w:t xml:space="preserve">   T</w:t>
      </w:r>
      <w:r w:rsidRPr="00E36AC6">
        <w:rPr>
          <w:lang w:val="it-IT"/>
        </w:rPr>
        <w:t>arifa e privatizimit (në/000 lekë</w:t>
      </w:r>
      <w:r>
        <w:rPr>
          <w:lang w:val="it-IT"/>
        </w:rPr>
        <w:t>)</w:t>
      </w:r>
    </w:p>
    <w:p w:rsidR="00312AE3" w:rsidRDefault="00312AE3" w:rsidP="00312AE3">
      <w:pPr>
        <w:pStyle w:val="Paragrafi"/>
        <w:rPr>
          <w:lang w:val="it-IT"/>
        </w:rPr>
      </w:pPr>
    </w:p>
    <w:p w:rsidR="00312AE3" w:rsidRPr="00B403CC" w:rsidRDefault="00312AE3" w:rsidP="00312AE3">
      <w:pPr>
        <w:pStyle w:val="Paragrafi"/>
      </w:pPr>
      <w:r>
        <w:t>ku:</w:t>
      </w:r>
    </w:p>
    <w:p w:rsidR="00312AE3" w:rsidRPr="00E36AC6" w:rsidRDefault="00312AE3" w:rsidP="00312AE3">
      <w:pPr>
        <w:pStyle w:val="Paragrafi"/>
      </w:pPr>
      <w:r w:rsidRPr="00E36AC6">
        <w:t xml:space="preserve">A- </w:t>
      </w:r>
      <w:r>
        <w:t>ë</w:t>
      </w:r>
      <w:r w:rsidRPr="00E36AC6">
        <w:t>sht</w:t>
      </w:r>
      <w:r>
        <w:t>ë</w:t>
      </w:r>
      <w:r w:rsidRPr="00E36AC6">
        <w:t xml:space="preserve"> apartament me struktur</w:t>
      </w:r>
      <w:r>
        <w:t>ë</w:t>
      </w:r>
      <w:r w:rsidRPr="00E36AC6">
        <w:t xml:space="preserve"> 1+1</w:t>
      </w:r>
    </w:p>
    <w:p w:rsidR="00312AE3" w:rsidRDefault="00312AE3" w:rsidP="00312AE3">
      <w:pPr>
        <w:pStyle w:val="Paragrafi"/>
      </w:pPr>
      <w:r>
        <w:t>B- është apartament me strukturë 2+1</w:t>
      </w:r>
    </w:p>
    <w:p w:rsidR="00312AE3" w:rsidRPr="00E36AC6" w:rsidRDefault="00312AE3" w:rsidP="00312AE3">
      <w:pPr>
        <w:pStyle w:val="Paragrafi"/>
      </w:pPr>
      <w:r>
        <w:t>C- është apartament me strukturë 3+1</w:t>
      </w:r>
    </w:p>
    <w:p w:rsidR="00312AE3" w:rsidRPr="00E36AC6" w:rsidRDefault="00312AE3" w:rsidP="00312AE3">
      <w:pPr>
        <w:pStyle w:val="Paragrafi"/>
        <w:ind w:firstLine="187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84"/>
        <w:gridCol w:w="1110"/>
        <w:gridCol w:w="303"/>
        <w:gridCol w:w="296"/>
        <w:gridCol w:w="383"/>
        <w:gridCol w:w="383"/>
        <w:gridCol w:w="296"/>
        <w:gridCol w:w="350"/>
        <w:gridCol w:w="383"/>
        <w:gridCol w:w="350"/>
        <w:gridCol w:w="350"/>
        <w:gridCol w:w="383"/>
        <w:gridCol w:w="450"/>
        <w:gridCol w:w="350"/>
        <w:gridCol w:w="350"/>
        <w:gridCol w:w="450"/>
        <w:gridCol w:w="350"/>
        <w:gridCol w:w="350"/>
        <w:gridCol w:w="450"/>
        <w:gridCol w:w="350"/>
        <w:gridCol w:w="350"/>
        <w:gridCol w:w="450"/>
        <w:gridCol w:w="350"/>
      </w:tblGrid>
      <w:tr w:rsidR="00312AE3" w:rsidRPr="00FC0A84">
        <w:tc>
          <w:tcPr>
            <w:tcW w:w="0" w:type="auto"/>
            <w:vMerge w:val="restart"/>
            <w:textDirection w:val="btLr"/>
          </w:tcPr>
          <w:p w:rsidR="00312AE3" w:rsidRPr="00264A84" w:rsidRDefault="00312AE3" w:rsidP="00312AE3">
            <w:pPr>
              <w:pStyle w:val="Tabele"/>
              <w:ind w:left="113" w:right="113"/>
              <w:jc w:val="center"/>
              <w:rPr>
                <w:rFonts w:cs="Arial"/>
                <w:b/>
                <w:sz w:val="12"/>
                <w:szCs w:val="12"/>
              </w:rPr>
            </w:pPr>
            <w:r w:rsidRPr="00264A84">
              <w:rPr>
                <w:rFonts w:cs="Arial"/>
                <w:b/>
                <w:sz w:val="12"/>
                <w:szCs w:val="12"/>
              </w:rPr>
              <w:t>Kategoria</w:t>
            </w:r>
          </w:p>
        </w:tc>
        <w:tc>
          <w:tcPr>
            <w:tcW w:w="0" w:type="auto"/>
            <w:vMerge w:val="restart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</w:rPr>
            </w:pPr>
            <w:r w:rsidRPr="00264A84">
              <w:rPr>
                <w:rFonts w:cs="Arial"/>
                <w:b/>
                <w:sz w:val="12"/>
                <w:szCs w:val="12"/>
              </w:rPr>
              <w:t>Emërtimi</w:t>
            </w:r>
          </w:p>
        </w:tc>
        <w:tc>
          <w:tcPr>
            <w:tcW w:w="0" w:type="auto"/>
            <w:gridSpan w:val="21"/>
            <w:tcBorders>
              <w:right w:val="single" w:sz="4" w:space="0" w:color="auto"/>
            </w:tcBorders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Klasifikimi i apartamenteve sipas tipeve</w:t>
            </w:r>
          </w:p>
        </w:tc>
      </w:tr>
      <w:tr w:rsidR="00312AE3" w:rsidRPr="00FC0A84">
        <w:tc>
          <w:tcPr>
            <w:tcW w:w="0" w:type="auto"/>
            <w:vMerge/>
          </w:tcPr>
          <w:p w:rsidR="00312AE3" w:rsidRPr="00FC0A84" w:rsidRDefault="00312AE3" w:rsidP="00312AE3">
            <w:pPr>
              <w:pStyle w:val="Tabele"/>
              <w:jc w:val="center"/>
              <w:rPr>
                <w:rFonts w:ascii="Arial" w:hAnsi="Arial" w:cs="Arial"/>
                <w:b/>
                <w:sz w:val="12"/>
                <w:szCs w:val="12"/>
                <w:lang w:val="it-IT"/>
              </w:rPr>
            </w:pPr>
          </w:p>
        </w:tc>
        <w:tc>
          <w:tcPr>
            <w:tcW w:w="0" w:type="auto"/>
            <w:vMerge/>
          </w:tcPr>
          <w:p w:rsidR="00312AE3" w:rsidRPr="00FC0A84" w:rsidRDefault="00312AE3" w:rsidP="00312AE3">
            <w:pPr>
              <w:pStyle w:val="Tabele"/>
              <w:jc w:val="center"/>
              <w:rPr>
                <w:rFonts w:ascii="Arial" w:hAnsi="Arial" w:cs="Arial"/>
                <w:b/>
                <w:sz w:val="12"/>
                <w:szCs w:val="12"/>
                <w:lang w:val="it-IT"/>
              </w:rPr>
            </w:pPr>
          </w:p>
        </w:tc>
        <w:tc>
          <w:tcPr>
            <w:tcW w:w="0" w:type="auto"/>
            <w:gridSpan w:val="3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55 vite</w:t>
            </w:r>
          </w:p>
        </w:tc>
        <w:tc>
          <w:tcPr>
            <w:tcW w:w="0" w:type="auto"/>
            <w:gridSpan w:val="3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45-55 vite</w:t>
            </w:r>
          </w:p>
        </w:tc>
        <w:tc>
          <w:tcPr>
            <w:tcW w:w="0" w:type="auto"/>
            <w:gridSpan w:val="3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35-45 vite</w:t>
            </w:r>
          </w:p>
        </w:tc>
        <w:tc>
          <w:tcPr>
            <w:tcW w:w="0" w:type="auto"/>
            <w:gridSpan w:val="3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30-45 vite</w:t>
            </w:r>
          </w:p>
        </w:tc>
        <w:tc>
          <w:tcPr>
            <w:tcW w:w="0" w:type="auto"/>
            <w:gridSpan w:val="3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25-30 vite</w:t>
            </w:r>
          </w:p>
        </w:tc>
        <w:tc>
          <w:tcPr>
            <w:tcW w:w="0" w:type="auto"/>
            <w:gridSpan w:val="3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25-20 vite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20 vite</w:t>
            </w:r>
          </w:p>
        </w:tc>
      </w:tr>
      <w:tr w:rsidR="00312AE3" w:rsidRPr="00FC0A84">
        <w:trPr>
          <w:trHeight w:val="279"/>
        </w:trPr>
        <w:tc>
          <w:tcPr>
            <w:tcW w:w="0" w:type="auto"/>
            <w:vMerge/>
          </w:tcPr>
          <w:p w:rsidR="00312AE3" w:rsidRPr="00FC0A84" w:rsidRDefault="00312AE3" w:rsidP="00312AE3">
            <w:pPr>
              <w:pStyle w:val="Tabele"/>
              <w:jc w:val="center"/>
              <w:rPr>
                <w:rFonts w:ascii="Arial" w:hAnsi="Arial" w:cs="Arial"/>
                <w:b/>
                <w:sz w:val="12"/>
                <w:szCs w:val="12"/>
                <w:lang w:val="it-IT"/>
              </w:rPr>
            </w:pPr>
          </w:p>
        </w:tc>
        <w:tc>
          <w:tcPr>
            <w:tcW w:w="0" w:type="auto"/>
            <w:vMerge/>
          </w:tcPr>
          <w:p w:rsidR="00312AE3" w:rsidRPr="00FC0A84" w:rsidRDefault="00312AE3" w:rsidP="00312AE3">
            <w:pPr>
              <w:pStyle w:val="Tabele"/>
              <w:jc w:val="center"/>
              <w:rPr>
                <w:rFonts w:ascii="Arial" w:hAnsi="Arial" w:cs="Arial"/>
                <w:b/>
                <w:sz w:val="12"/>
                <w:szCs w:val="12"/>
                <w:lang w:val="it-IT"/>
              </w:rPr>
            </w:pP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A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B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C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A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B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C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A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B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C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A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B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C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A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B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C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A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B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C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A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B</w:t>
            </w:r>
          </w:p>
        </w:tc>
        <w:tc>
          <w:tcPr>
            <w:tcW w:w="0" w:type="auto"/>
          </w:tcPr>
          <w:p w:rsidR="00312AE3" w:rsidRPr="00264A84" w:rsidRDefault="00312AE3" w:rsidP="00312AE3">
            <w:pPr>
              <w:pStyle w:val="Tabele"/>
              <w:jc w:val="center"/>
              <w:rPr>
                <w:rFonts w:cs="Arial"/>
                <w:b/>
                <w:sz w:val="12"/>
                <w:szCs w:val="12"/>
                <w:lang w:val="it-IT"/>
              </w:rPr>
            </w:pPr>
            <w:r w:rsidRPr="00264A84">
              <w:rPr>
                <w:rFonts w:cs="Arial"/>
                <w:b/>
                <w:sz w:val="12"/>
                <w:szCs w:val="12"/>
                <w:lang w:val="it-IT"/>
              </w:rPr>
              <w:t>C</w:t>
            </w:r>
          </w:p>
        </w:tc>
      </w:tr>
      <w:tr w:rsidR="00312AE3" w:rsidRPr="00FC0A84">
        <w:tc>
          <w:tcPr>
            <w:tcW w:w="0" w:type="auto"/>
            <w:vMerge w:val="restart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III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Kuzhinë më vete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27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30</w:t>
            </w:r>
          </w:p>
        </w:tc>
      </w:tr>
      <w:tr w:rsidR="00312AE3" w:rsidRPr="00FC0A84">
        <w:tc>
          <w:tcPr>
            <w:tcW w:w="0" w:type="auto"/>
            <w:vMerge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Pa guzhinë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24</w:t>
            </w:r>
          </w:p>
        </w:tc>
      </w:tr>
      <w:tr w:rsidR="00312AE3" w:rsidRPr="00FC0A84">
        <w:tc>
          <w:tcPr>
            <w:tcW w:w="0" w:type="auto"/>
            <w:vMerge w:val="restart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II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Kuzhinë më vete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13.5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23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18.5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22.5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32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26.5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35</w:t>
            </w:r>
          </w:p>
        </w:tc>
      </w:tr>
      <w:tr w:rsidR="00312AE3" w:rsidRPr="00FC0A84">
        <w:tc>
          <w:tcPr>
            <w:tcW w:w="0" w:type="auto"/>
            <w:vMerge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Pa guzhinë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</w:rPr>
            </w:pPr>
            <w:r w:rsidRPr="00FC0A84">
              <w:rPr>
                <w:rFonts w:ascii="Arial" w:hAnsi="Arial" w:cs="Arial"/>
                <w:sz w:val="12"/>
                <w:szCs w:val="12"/>
              </w:rPr>
              <w:t>5.5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11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-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6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3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11.5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21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7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15.5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24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18.5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27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13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21.5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30</w:t>
            </w:r>
          </w:p>
        </w:tc>
      </w:tr>
      <w:tr w:rsidR="00312AE3" w:rsidRPr="00FC0A84">
        <w:tc>
          <w:tcPr>
            <w:tcW w:w="0" w:type="auto"/>
            <w:vMerge w:val="restart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I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Kuzhinë më vete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3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6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3.5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8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4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30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35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30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40</w:t>
            </w:r>
          </w:p>
        </w:tc>
      </w:tr>
      <w:tr w:rsidR="00312AE3" w:rsidRPr="00FC0A84">
        <w:tc>
          <w:tcPr>
            <w:tcW w:w="0" w:type="auto"/>
            <w:vMerge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Pa guzhinë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4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6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3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6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12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3.5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8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17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4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13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22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8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17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26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12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21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30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16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25</w:t>
            </w:r>
          </w:p>
        </w:tc>
        <w:tc>
          <w:tcPr>
            <w:tcW w:w="0" w:type="auto"/>
          </w:tcPr>
          <w:p w:rsidR="00312AE3" w:rsidRPr="00FC0A84" w:rsidRDefault="00312AE3" w:rsidP="00312AE3">
            <w:pPr>
              <w:pStyle w:val="Tabele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FC0A84">
              <w:rPr>
                <w:rFonts w:ascii="Arial" w:hAnsi="Arial" w:cs="Arial"/>
                <w:sz w:val="12"/>
                <w:szCs w:val="12"/>
                <w:lang w:val="it-IT"/>
              </w:rPr>
              <w:t>34</w:t>
            </w:r>
          </w:p>
        </w:tc>
      </w:tr>
    </w:tbl>
    <w:p w:rsidR="00312AE3" w:rsidRDefault="00312AE3" w:rsidP="00264A84">
      <w:pPr>
        <w:pStyle w:val="Paragrafi"/>
        <w:rPr>
          <w:lang w:val="it-IT"/>
        </w:rPr>
      </w:pPr>
    </w:p>
    <w:p w:rsidR="00312AE3" w:rsidRDefault="00312AE3" w:rsidP="00264A84">
      <w:pPr>
        <w:pStyle w:val="Paragrafi"/>
        <w:rPr>
          <w:lang w:val="it-IT"/>
        </w:rPr>
      </w:pPr>
    </w:p>
    <w:p w:rsidR="00312AE3" w:rsidRPr="00E82C75" w:rsidRDefault="00312AE3" w:rsidP="00264A84">
      <w:pPr>
        <w:pStyle w:val="Paragrafi"/>
        <w:rPr>
          <w:lang w:val="it-IT"/>
        </w:rPr>
      </w:pPr>
      <w:r w:rsidRPr="00E82C75">
        <w:rPr>
          <w:lang w:val="it-IT"/>
        </w:rPr>
        <w:t xml:space="preserve">Tabela 2 </w:t>
      </w:r>
      <w:r>
        <w:rPr>
          <w:lang w:val="it-IT"/>
        </w:rPr>
        <w:t xml:space="preserve">   K</w:t>
      </w:r>
      <w:r w:rsidRPr="00E82C75">
        <w:rPr>
          <w:lang w:val="it-IT"/>
        </w:rPr>
        <w:t>o</w:t>
      </w:r>
      <w:r>
        <w:rPr>
          <w:lang w:val="it-IT"/>
        </w:rPr>
        <w:t>e</w:t>
      </w:r>
      <w:r w:rsidRPr="00E82C75">
        <w:rPr>
          <w:lang w:val="it-IT"/>
        </w:rPr>
        <w:t>ficientët e kor</w:t>
      </w:r>
      <w:r>
        <w:rPr>
          <w:lang w:val="it-IT"/>
        </w:rPr>
        <w:t>r</w:t>
      </w:r>
      <w:r w:rsidRPr="00E82C75">
        <w:rPr>
          <w:lang w:val="it-IT"/>
        </w:rPr>
        <w:t>igjimit të tarifës në bazë të nivelit të banimit</w:t>
      </w:r>
    </w:p>
    <w:p w:rsidR="00312AE3" w:rsidRPr="00E82C75" w:rsidRDefault="00312AE3" w:rsidP="00264A84">
      <w:pPr>
        <w:pStyle w:val="Paragrafi"/>
        <w:rPr>
          <w:lang w:val="it-IT"/>
        </w:rPr>
      </w:pPr>
    </w:p>
    <w:tbl>
      <w:tblPr>
        <w:tblStyle w:val="TableGrid"/>
        <w:tblW w:w="9271" w:type="dxa"/>
        <w:tblLook w:val="01E0" w:firstRow="1" w:lastRow="1" w:firstColumn="1" w:lastColumn="1" w:noHBand="0" w:noVBand="0"/>
      </w:tblPr>
      <w:tblGrid>
        <w:gridCol w:w="4783"/>
        <w:gridCol w:w="921"/>
        <w:gridCol w:w="1490"/>
        <w:gridCol w:w="2077"/>
      </w:tblGrid>
      <w:tr w:rsidR="00312AE3">
        <w:tc>
          <w:tcPr>
            <w:tcW w:w="4783" w:type="dxa"/>
          </w:tcPr>
          <w:p w:rsidR="00312AE3" w:rsidRPr="00E82C75" w:rsidRDefault="00312AE3" w:rsidP="00264A84">
            <w:pPr>
              <w:pStyle w:val="Tabele"/>
            </w:pPr>
          </w:p>
        </w:tc>
        <w:tc>
          <w:tcPr>
            <w:tcW w:w="4488" w:type="dxa"/>
            <w:gridSpan w:val="3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Apartamete</w:t>
            </w:r>
          </w:p>
        </w:tc>
      </w:tr>
      <w:tr w:rsidR="00312AE3">
        <w:tc>
          <w:tcPr>
            <w:tcW w:w="4783" w:type="dxa"/>
          </w:tcPr>
          <w:p w:rsidR="00312AE3" w:rsidRDefault="00312AE3" w:rsidP="00264A84">
            <w:pPr>
              <w:pStyle w:val="Tabele"/>
            </w:pPr>
          </w:p>
        </w:tc>
        <w:tc>
          <w:tcPr>
            <w:tcW w:w="921" w:type="dxa"/>
          </w:tcPr>
          <w:p w:rsidR="00312AE3" w:rsidRDefault="00312AE3" w:rsidP="00264A84">
            <w:pPr>
              <w:pStyle w:val="Tabele"/>
            </w:pPr>
            <w:r>
              <w:t>1+1</w:t>
            </w:r>
          </w:p>
        </w:tc>
        <w:tc>
          <w:tcPr>
            <w:tcW w:w="1490" w:type="dxa"/>
          </w:tcPr>
          <w:p w:rsidR="00312AE3" w:rsidRDefault="00312AE3" w:rsidP="00264A84">
            <w:pPr>
              <w:pStyle w:val="Tabele"/>
            </w:pPr>
            <w:r>
              <w:t>2+1</w:t>
            </w:r>
          </w:p>
        </w:tc>
        <w:tc>
          <w:tcPr>
            <w:tcW w:w="2077" w:type="dxa"/>
          </w:tcPr>
          <w:p w:rsidR="00312AE3" w:rsidRDefault="00312AE3" w:rsidP="00264A84">
            <w:pPr>
              <w:pStyle w:val="Tabele"/>
            </w:pPr>
            <w:r>
              <w:t>3+1</w:t>
            </w:r>
          </w:p>
        </w:tc>
      </w:tr>
      <w:tr w:rsidR="00312AE3">
        <w:tc>
          <w:tcPr>
            <w:tcW w:w="4783" w:type="dxa"/>
          </w:tcPr>
          <w:p w:rsidR="00312AE3" w:rsidRDefault="00312AE3" w:rsidP="00264A84">
            <w:pPr>
              <w:pStyle w:val="Tabele"/>
            </w:pPr>
            <w:r>
              <w:t>Nr. frymëve</w:t>
            </w:r>
          </w:p>
        </w:tc>
        <w:tc>
          <w:tcPr>
            <w:tcW w:w="921" w:type="dxa"/>
          </w:tcPr>
          <w:p w:rsidR="00312AE3" w:rsidRDefault="00312AE3" w:rsidP="00264A84">
            <w:pPr>
              <w:pStyle w:val="Tabele"/>
            </w:pPr>
            <w:r>
              <w:t>3</w:t>
            </w:r>
          </w:p>
        </w:tc>
        <w:tc>
          <w:tcPr>
            <w:tcW w:w="1490" w:type="dxa"/>
          </w:tcPr>
          <w:p w:rsidR="00312AE3" w:rsidRDefault="00312AE3" w:rsidP="00264A84">
            <w:pPr>
              <w:pStyle w:val="Tabele"/>
            </w:pPr>
            <w:r>
              <w:t>4</w:t>
            </w:r>
          </w:p>
        </w:tc>
        <w:tc>
          <w:tcPr>
            <w:tcW w:w="2077" w:type="dxa"/>
          </w:tcPr>
          <w:p w:rsidR="00312AE3" w:rsidRDefault="00312AE3" w:rsidP="00264A84">
            <w:pPr>
              <w:pStyle w:val="Tabele"/>
            </w:pPr>
            <w:r>
              <w:t>6</w:t>
            </w:r>
          </w:p>
        </w:tc>
      </w:tr>
      <w:tr w:rsidR="00312AE3">
        <w:tc>
          <w:tcPr>
            <w:tcW w:w="4783" w:type="dxa"/>
          </w:tcPr>
          <w:p w:rsidR="00312AE3" w:rsidRDefault="00312AE3" w:rsidP="00264A84">
            <w:pPr>
              <w:pStyle w:val="Tabele"/>
            </w:pPr>
            <w:r>
              <w:t>Koeficienti zbritës për çdo frymë tepër në %</w:t>
            </w:r>
          </w:p>
        </w:tc>
        <w:tc>
          <w:tcPr>
            <w:tcW w:w="921" w:type="dxa"/>
          </w:tcPr>
          <w:p w:rsidR="00312AE3" w:rsidRDefault="00312AE3" w:rsidP="00264A84">
            <w:pPr>
              <w:pStyle w:val="Tabele"/>
            </w:pPr>
            <w:r>
              <w:t>-10</w:t>
            </w:r>
          </w:p>
        </w:tc>
        <w:tc>
          <w:tcPr>
            <w:tcW w:w="1490" w:type="dxa"/>
          </w:tcPr>
          <w:p w:rsidR="00312AE3" w:rsidRDefault="00312AE3" w:rsidP="00264A84">
            <w:pPr>
              <w:pStyle w:val="Tabele"/>
            </w:pPr>
            <w:r>
              <w:t>-10</w:t>
            </w:r>
          </w:p>
        </w:tc>
        <w:tc>
          <w:tcPr>
            <w:tcW w:w="2077" w:type="dxa"/>
          </w:tcPr>
          <w:p w:rsidR="00312AE3" w:rsidRDefault="00312AE3" w:rsidP="00264A84">
            <w:pPr>
              <w:pStyle w:val="Tabele"/>
            </w:pPr>
            <w:r>
              <w:t>-10</w:t>
            </w:r>
          </w:p>
        </w:tc>
      </w:tr>
      <w:tr w:rsidR="00312AE3">
        <w:tc>
          <w:tcPr>
            <w:tcW w:w="4783" w:type="dxa"/>
          </w:tcPr>
          <w:p w:rsidR="00312AE3" w:rsidRDefault="00312AE3" w:rsidP="00264A84">
            <w:pPr>
              <w:pStyle w:val="Tabele"/>
            </w:pPr>
            <w:r>
              <w:t>Koeficienti rritës për çdo frymë më pak në %</w:t>
            </w:r>
          </w:p>
        </w:tc>
        <w:tc>
          <w:tcPr>
            <w:tcW w:w="921" w:type="dxa"/>
          </w:tcPr>
          <w:p w:rsidR="00312AE3" w:rsidRDefault="00312AE3" w:rsidP="00264A84">
            <w:pPr>
              <w:pStyle w:val="Tabele"/>
            </w:pPr>
            <w:r>
              <w:t>+10</w:t>
            </w:r>
          </w:p>
        </w:tc>
        <w:tc>
          <w:tcPr>
            <w:tcW w:w="1490" w:type="dxa"/>
          </w:tcPr>
          <w:p w:rsidR="00312AE3" w:rsidRDefault="00312AE3" w:rsidP="00264A84">
            <w:pPr>
              <w:pStyle w:val="Tabele"/>
            </w:pPr>
            <w:r>
              <w:t>+10</w:t>
            </w:r>
          </w:p>
        </w:tc>
        <w:tc>
          <w:tcPr>
            <w:tcW w:w="2077" w:type="dxa"/>
          </w:tcPr>
          <w:p w:rsidR="00312AE3" w:rsidRDefault="00312AE3" w:rsidP="00264A84">
            <w:pPr>
              <w:pStyle w:val="Tabele"/>
            </w:pPr>
            <w:r>
              <w:t>+10</w:t>
            </w:r>
          </w:p>
        </w:tc>
      </w:tr>
    </w:tbl>
    <w:p w:rsidR="00312AE3" w:rsidRDefault="00312AE3" w:rsidP="00264A84">
      <w:pPr>
        <w:pStyle w:val="Paragrafi"/>
      </w:pPr>
    </w:p>
    <w:p w:rsidR="00312AE3" w:rsidRDefault="00312AE3" w:rsidP="00264A84">
      <w:pPr>
        <w:pStyle w:val="Paragrafi"/>
      </w:pPr>
    </w:p>
    <w:p w:rsidR="00312AE3" w:rsidRDefault="00312AE3" w:rsidP="00264A84">
      <w:pPr>
        <w:pStyle w:val="Paragrafi"/>
      </w:pPr>
      <w:r>
        <w:t>Tabela 3    Koeficientët e korrigjimit të tarifës sipas vendndodhjes së apartametit në godinë</w:t>
      </w:r>
    </w:p>
    <w:p w:rsidR="00312AE3" w:rsidRDefault="00312AE3" w:rsidP="00264A84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74"/>
        <w:gridCol w:w="2866"/>
        <w:gridCol w:w="2758"/>
      </w:tblGrid>
      <w:tr w:rsidR="00312AE3" w:rsidRPr="00312AE3">
        <w:tc>
          <w:tcPr>
            <w:tcW w:w="3474" w:type="dxa"/>
            <w:vMerge w:val="restart"/>
          </w:tcPr>
          <w:p w:rsidR="00312AE3" w:rsidRPr="00264A84" w:rsidRDefault="00312AE3" w:rsidP="00264A84">
            <w:pPr>
              <w:pStyle w:val="Tabele"/>
              <w:jc w:val="center"/>
              <w:rPr>
                <w:b/>
              </w:rPr>
            </w:pPr>
            <w:r w:rsidRPr="00264A84">
              <w:rPr>
                <w:b/>
              </w:rPr>
              <w:t>Vendosja e AP</w:t>
            </w:r>
          </w:p>
        </w:tc>
        <w:tc>
          <w:tcPr>
            <w:tcW w:w="2866" w:type="dxa"/>
          </w:tcPr>
          <w:p w:rsidR="00312AE3" w:rsidRPr="00264A84" w:rsidRDefault="00312AE3" w:rsidP="00264A84">
            <w:pPr>
              <w:pStyle w:val="Tabele"/>
              <w:jc w:val="center"/>
              <w:rPr>
                <w:b/>
              </w:rPr>
            </w:pPr>
            <w:r w:rsidRPr="00264A84">
              <w:rPr>
                <w:b/>
              </w:rPr>
              <w:t>Për apartament të kategorisë së II-të</w:t>
            </w:r>
          </w:p>
        </w:tc>
        <w:tc>
          <w:tcPr>
            <w:tcW w:w="2758" w:type="dxa"/>
          </w:tcPr>
          <w:p w:rsidR="00312AE3" w:rsidRPr="00264A84" w:rsidRDefault="00312AE3" w:rsidP="00264A84">
            <w:pPr>
              <w:pStyle w:val="Tabele"/>
              <w:jc w:val="center"/>
              <w:rPr>
                <w:b/>
                <w:lang w:val="it-IT"/>
              </w:rPr>
            </w:pPr>
            <w:r w:rsidRPr="00264A84">
              <w:rPr>
                <w:b/>
                <w:lang w:val="it-IT"/>
              </w:rPr>
              <w:t>Për apartamete të kategorisë së I-rë</w:t>
            </w:r>
          </w:p>
        </w:tc>
      </w:tr>
      <w:tr w:rsidR="00312AE3">
        <w:tc>
          <w:tcPr>
            <w:tcW w:w="3474" w:type="dxa"/>
            <w:vMerge/>
          </w:tcPr>
          <w:p w:rsidR="00312AE3" w:rsidRPr="00264A84" w:rsidRDefault="00312AE3" w:rsidP="00264A84">
            <w:pPr>
              <w:pStyle w:val="Tabele"/>
              <w:jc w:val="center"/>
              <w:rPr>
                <w:b/>
                <w:lang w:val="it-IT"/>
              </w:rPr>
            </w:pPr>
          </w:p>
        </w:tc>
        <w:tc>
          <w:tcPr>
            <w:tcW w:w="5624" w:type="dxa"/>
            <w:gridSpan w:val="2"/>
          </w:tcPr>
          <w:p w:rsidR="00312AE3" w:rsidRPr="00264A84" w:rsidRDefault="00312AE3" w:rsidP="00264A84">
            <w:pPr>
              <w:pStyle w:val="Tabele"/>
              <w:jc w:val="center"/>
              <w:rPr>
                <w:b/>
              </w:rPr>
            </w:pPr>
            <w:r w:rsidRPr="00264A84">
              <w:rPr>
                <w:b/>
              </w:rPr>
              <w:t>Koeficienti %</w:t>
            </w:r>
          </w:p>
        </w:tc>
      </w:tr>
      <w:tr w:rsidR="00312AE3">
        <w:tc>
          <w:tcPr>
            <w:tcW w:w="3474" w:type="dxa"/>
          </w:tcPr>
          <w:p w:rsidR="00312AE3" w:rsidRDefault="00312AE3" w:rsidP="00264A84">
            <w:pPr>
              <w:pStyle w:val="Tabele"/>
            </w:pPr>
            <w:r>
              <w:t>Kati përdhe</w:t>
            </w:r>
          </w:p>
        </w:tc>
        <w:tc>
          <w:tcPr>
            <w:tcW w:w="2866" w:type="dxa"/>
          </w:tcPr>
          <w:p w:rsidR="00312AE3" w:rsidRDefault="00312AE3" w:rsidP="00264A84">
            <w:pPr>
              <w:pStyle w:val="Tabele"/>
            </w:pPr>
            <w:r>
              <w:t>-7</w:t>
            </w:r>
          </w:p>
        </w:tc>
        <w:tc>
          <w:tcPr>
            <w:tcW w:w="2758" w:type="dxa"/>
          </w:tcPr>
          <w:p w:rsidR="00312AE3" w:rsidRDefault="00312AE3" w:rsidP="00264A84">
            <w:pPr>
              <w:pStyle w:val="Tabele"/>
            </w:pPr>
            <w:r>
              <w:t>+10</w:t>
            </w:r>
          </w:p>
        </w:tc>
      </w:tr>
      <w:tr w:rsidR="00312AE3">
        <w:tc>
          <w:tcPr>
            <w:tcW w:w="3474" w:type="dxa"/>
          </w:tcPr>
          <w:p w:rsidR="00312AE3" w:rsidRDefault="00312AE3" w:rsidP="00264A84">
            <w:pPr>
              <w:pStyle w:val="Tabele"/>
            </w:pPr>
            <w:r>
              <w:t>Kati i ndërmjetëm</w:t>
            </w:r>
          </w:p>
        </w:tc>
        <w:tc>
          <w:tcPr>
            <w:tcW w:w="2866" w:type="dxa"/>
          </w:tcPr>
          <w:p w:rsidR="00312AE3" w:rsidRDefault="00312AE3" w:rsidP="00264A84">
            <w:pPr>
              <w:pStyle w:val="Tabele"/>
            </w:pPr>
            <w:r>
              <w:t>+5</w:t>
            </w:r>
          </w:p>
        </w:tc>
        <w:tc>
          <w:tcPr>
            <w:tcW w:w="2758" w:type="dxa"/>
          </w:tcPr>
          <w:p w:rsidR="00312AE3" w:rsidRDefault="00312AE3" w:rsidP="00264A84">
            <w:pPr>
              <w:pStyle w:val="Tabele"/>
            </w:pPr>
            <w:r>
              <w:t>+5</w:t>
            </w:r>
          </w:p>
        </w:tc>
      </w:tr>
      <w:tr w:rsidR="00312AE3">
        <w:tc>
          <w:tcPr>
            <w:tcW w:w="3474" w:type="dxa"/>
          </w:tcPr>
          <w:p w:rsidR="00312AE3" w:rsidRDefault="00312AE3" w:rsidP="00264A84">
            <w:pPr>
              <w:pStyle w:val="Tabele"/>
            </w:pPr>
            <w:r>
              <w:t>Kati i sipërm</w:t>
            </w:r>
          </w:p>
        </w:tc>
        <w:tc>
          <w:tcPr>
            <w:tcW w:w="2866" w:type="dxa"/>
          </w:tcPr>
          <w:p w:rsidR="00312AE3" w:rsidRDefault="00312AE3" w:rsidP="00264A84">
            <w:pPr>
              <w:pStyle w:val="Tabele"/>
            </w:pPr>
            <w:r>
              <w:t>-7</w:t>
            </w:r>
          </w:p>
        </w:tc>
        <w:tc>
          <w:tcPr>
            <w:tcW w:w="2758" w:type="dxa"/>
          </w:tcPr>
          <w:p w:rsidR="00312AE3" w:rsidRDefault="00312AE3" w:rsidP="00264A84">
            <w:pPr>
              <w:pStyle w:val="Tabele"/>
            </w:pPr>
            <w:r>
              <w:t>-7</w:t>
            </w:r>
          </w:p>
        </w:tc>
      </w:tr>
    </w:tbl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  <w:sectPr w:rsidR="00312AE3" w:rsidSect="00312AE3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665"/>
          <w:cols w:space="720"/>
          <w:docGrid w:linePitch="360"/>
        </w:sectPr>
      </w:pPr>
    </w:p>
    <w:p w:rsidR="00312AE3" w:rsidRDefault="00312AE3" w:rsidP="00312AE3">
      <w:pPr>
        <w:pStyle w:val="Paragrafi"/>
        <w:rPr>
          <w:b/>
        </w:rPr>
      </w:pPr>
      <w:r w:rsidRPr="00914C8B">
        <w:rPr>
          <w:b/>
        </w:rPr>
        <w:t>LIBRI I PRIVATIZIMIT</w:t>
      </w:r>
    </w:p>
    <w:p w:rsidR="00312AE3" w:rsidRPr="00914C8B" w:rsidRDefault="00312AE3" w:rsidP="00312AE3">
      <w:pPr>
        <w:pStyle w:val="Paragrafi"/>
        <w:rPr>
          <w:b/>
        </w:rPr>
      </w:pPr>
    </w:p>
    <w:p w:rsidR="00312AE3" w:rsidRPr="00914C8B" w:rsidRDefault="00312AE3" w:rsidP="00312AE3">
      <w:pPr>
        <w:pStyle w:val="Paragrafi"/>
        <w:rPr>
          <w:b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45"/>
        <w:gridCol w:w="1644"/>
        <w:gridCol w:w="2014"/>
        <w:gridCol w:w="1202"/>
        <w:gridCol w:w="630"/>
        <w:gridCol w:w="630"/>
        <w:gridCol w:w="630"/>
        <w:gridCol w:w="1024"/>
        <w:gridCol w:w="1320"/>
        <w:gridCol w:w="1502"/>
        <w:gridCol w:w="1275"/>
        <w:gridCol w:w="983"/>
      </w:tblGrid>
      <w:tr w:rsidR="00312AE3" w:rsidRPr="00264A84">
        <w:trPr>
          <w:trHeight w:val="536"/>
          <w:jc w:val="center"/>
        </w:trPr>
        <w:tc>
          <w:tcPr>
            <w:tcW w:w="0" w:type="auto"/>
            <w:vMerge w:val="restart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Nr.</w:t>
            </w:r>
          </w:p>
        </w:tc>
        <w:tc>
          <w:tcPr>
            <w:tcW w:w="0" w:type="auto"/>
            <w:vMerge w:val="restart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Emri, mbiemri</w:t>
            </w:r>
          </w:p>
        </w:tc>
        <w:tc>
          <w:tcPr>
            <w:tcW w:w="0" w:type="auto"/>
            <w:vMerge w:val="restart"/>
          </w:tcPr>
          <w:p w:rsidR="00312AE3" w:rsidRPr="00264A84" w:rsidRDefault="00312AE3" w:rsidP="00264A84">
            <w:pPr>
              <w:pStyle w:val="Tabele"/>
              <w:jc w:val="center"/>
              <w:rPr>
                <w:b/>
              </w:rPr>
            </w:pPr>
            <w:r w:rsidRPr="00264A84">
              <w:rPr>
                <w:b/>
              </w:rPr>
              <w:t>Adresa</w:t>
            </w:r>
          </w:p>
          <w:p w:rsidR="00312AE3" w:rsidRPr="00264A84" w:rsidRDefault="00312AE3" w:rsidP="00264A84">
            <w:pPr>
              <w:pStyle w:val="Tabele"/>
              <w:jc w:val="center"/>
              <w:rPr>
                <w:b/>
              </w:rPr>
            </w:pPr>
            <w:r w:rsidRPr="00264A84">
              <w:rPr>
                <w:b/>
              </w:rPr>
              <w:t>rruga, pall. shk.ap</w:t>
            </w:r>
          </w:p>
        </w:tc>
        <w:tc>
          <w:tcPr>
            <w:tcW w:w="0" w:type="auto"/>
            <w:gridSpan w:val="4"/>
            <w:vMerge w:val="restart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Përbërja e apartamentit</w:t>
            </w:r>
          </w:p>
        </w:tc>
        <w:tc>
          <w:tcPr>
            <w:tcW w:w="0" w:type="auto"/>
            <w:vMerge w:val="restart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Tarifa</w:t>
            </w:r>
          </w:p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(në lekë)</w:t>
            </w:r>
          </w:p>
        </w:tc>
        <w:tc>
          <w:tcPr>
            <w:tcW w:w="0" w:type="auto"/>
            <w:gridSpan w:val="2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Likuidimi</w:t>
            </w:r>
          </w:p>
        </w:tc>
        <w:tc>
          <w:tcPr>
            <w:tcW w:w="0" w:type="auto"/>
            <w:vMerge w:val="restart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Hipotekimi</w:t>
            </w:r>
          </w:p>
        </w:tc>
        <w:tc>
          <w:tcPr>
            <w:tcW w:w="0" w:type="auto"/>
            <w:vMerge w:val="restart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Vërejtje</w:t>
            </w:r>
          </w:p>
        </w:tc>
      </w:tr>
      <w:tr w:rsidR="00312AE3" w:rsidRPr="00264A84">
        <w:trPr>
          <w:trHeight w:val="264"/>
          <w:jc w:val="center"/>
        </w:trPr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gridSpan w:val="4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Me një këst</w:t>
            </w:r>
          </w:p>
        </w:tc>
        <w:tc>
          <w:tcPr>
            <w:tcW w:w="0" w:type="auto"/>
            <w:vMerge w:val="restart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Me disa këste</w:t>
            </w: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</w:tr>
      <w:tr w:rsidR="00312AE3" w:rsidRPr="00264A84">
        <w:trPr>
          <w:trHeight w:val="385"/>
          <w:jc w:val="center"/>
        </w:trPr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garsoniere</w:t>
            </w: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1+1</w:t>
            </w: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2+1</w:t>
            </w: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  <w:r w:rsidRPr="00264A84">
              <w:rPr>
                <w:b/>
              </w:rPr>
              <w:t>3+1</w:t>
            </w: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  <w:vMerge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</w:tr>
      <w:tr w:rsidR="00312AE3" w:rsidRPr="00264A84">
        <w:trPr>
          <w:jc w:val="center"/>
        </w:trPr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312AE3" w:rsidRPr="00264A84" w:rsidRDefault="00312AE3" w:rsidP="00264A84">
            <w:pPr>
              <w:pStyle w:val="Tabele"/>
              <w:rPr>
                <w:b/>
              </w:rPr>
            </w:pPr>
          </w:p>
        </w:tc>
      </w:tr>
    </w:tbl>
    <w:p w:rsidR="00312AE3" w:rsidRPr="00D60897" w:rsidRDefault="00312AE3" w:rsidP="00264A84">
      <w:pPr>
        <w:pStyle w:val="Paragrafi"/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312AE3" w:rsidRDefault="00312AE3" w:rsidP="00312AE3">
      <w:pPr>
        <w:pStyle w:val="Paragrafi"/>
        <w:ind w:firstLine="0"/>
        <w:rPr>
          <w:szCs w:val="22"/>
          <w:lang w:val="sq-AL"/>
        </w:rPr>
      </w:pPr>
    </w:p>
    <w:p w:rsidR="000178C2" w:rsidRPr="00C84B66" w:rsidRDefault="000178C2">
      <w:pPr>
        <w:rPr>
          <w:rFonts w:ascii="CG Times" w:hAnsi="CG Times"/>
          <w:sz w:val="22"/>
          <w:szCs w:val="22"/>
        </w:rPr>
      </w:pPr>
    </w:p>
    <w:sectPr w:rsidR="000178C2" w:rsidRPr="00C84B66" w:rsidSect="00312AE3">
      <w:pgSz w:w="16840" w:h="11907" w:orient="landscape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17209">
      <w:r>
        <w:separator/>
      </w:r>
    </w:p>
  </w:endnote>
  <w:endnote w:type="continuationSeparator" w:id="0">
    <w:p w:rsidR="00000000" w:rsidRDefault="00117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A84" w:rsidRDefault="00264A84" w:rsidP="00312AE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4A84" w:rsidRDefault="00264A84" w:rsidP="00312AE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A84" w:rsidRPr="0081524C" w:rsidRDefault="00264A84" w:rsidP="00312AE3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81524C">
      <w:rPr>
        <w:rStyle w:val="PageNumber"/>
        <w:rFonts w:ascii="CG Times" w:hAnsi="CG Times"/>
        <w:sz w:val="22"/>
        <w:szCs w:val="22"/>
      </w:rPr>
      <w:fldChar w:fldCharType="begin"/>
    </w:r>
    <w:r w:rsidRPr="0081524C">
      <w:rPr>
        <w:rStyle w:val="PageNumber"/>
        <w:rFonts w:ascii="CG Times" w:hAnsi="CG Times"/>
        <w:sz w:val="22"/>
        <w:szCs w:val="22"/>
      </w:rPr>
      <w:instrText xml:space="preserve">PAGE  </w:instrText>
    </w:r>
    <w:r w:rsidRPr="0081524C">
      <w:rPr>
        <w:rStyle w:val="PageNumber"/>
        <w:rFonts w:ascii="CG Times" w:hAnsi="CG Times"/>
        <w:sz w:val="22"/>
        <w:szCs w:val="22"/>
      </w:rPr>
      <w:fldChar w:fldCharType="separate"/>
    </w:r>
    <w:r w:rsidR="00117209">
      <w:rPr>
        <w:rStyle w:val="PageNumber"/>
        <w:rFonts w:ascii="CG Times" w:hAnsi="CG Times"/>
        <w:noProof/>
        <w:sz w:val="22"/>
        <w:szCs w:val="22"/>
      </w:rPr>
      <w:t>666</w:t>
    </w:r>
    <w:r w:rsidRPr="0081524C">
      <w:rPr>
        <w:rStyle w:val="PageNumber"/>
        <w:rFonts w:ascii="CG Times" w:hAnsi="CG Times"/>
        <w:sz w:val="22"/>
        <w:szCs w:val="22"/>
      </w:rPr>
      <w:fldChar w:fldCharType="end"/>
    </w:r>
  </w:p>
  <w:p w:rsidR="00264A84" w:rsidRDefault="00264A84" w:rsidP="00312AE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17209">
      <w:r>
        <w:separator/>
      </w:r>
    </w:p>
  </w:footnote>
  <w:footnote w:type="continuationSeparator" w:id="0">
    <w:p w:rsidR="00000000" w:rsidRDefault="00117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12AE3"/>
    <w:rsid w:val="000178C2"/>
    <w:rsid w:val="000A780A"/>
    <w:rsid w:val="00117209"/>
    <w:rsid w:val="00211EE2"/>
    <w:rsid w:val="00264A84"/>
    <w:rsid w:val="00312AE3"/>
    <w:rsid w:val="003218C2"/>
    <w:rsid w:val="003B3DD8"/>
    <w:rsid w:val="00626521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C78AC2-6345-423A-923B-0DF0A6C5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AE3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BF58D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F58D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F58D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BF58D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F58D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BF58D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BF58D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F58D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BF58D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F58D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F58D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BF58D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BF58D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F58DD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F58D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F58DD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BF58D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F58D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BF58D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BF58D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BF58D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F58D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F58D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F58D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BF58DD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F58D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BF58DD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BF58D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9C7562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9C7562"/>
  </w:style>
  <w:style w:type="paragraph" w:customStyle="1" w:styleId="Char">
    <w:name w:val=" Char"/>
    <w:basedOn w:val="Normal"/>
    <w:rsid w:val="00BF58DD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BF58DD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BF58DD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F58DD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F58DD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BF58DD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BF58DD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BF58D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BF58DD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F58DD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F58DD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F58DD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F58DD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F58DD"/>
    <w:pPr>
      <w:pageBreakBefore/>
      <w:numPr>
        <w:numId w:val="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BF58DD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BF58DD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F58D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BF58DD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BF58DD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BF58DD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BF58DD"/>
    <w:pPr>
      <w:ind w:left="720"/>
    </w:pPr>
  </w:style>
  <w:style w:type="paragraph" w:customStyle="1" w:styleId="Section">
    <w:name w:val="Section"/>
    <w:rsid w:val="00BF58D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F58D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BF58DD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F58DD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F58D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F58DD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F58DD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BF58DD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F58DD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BF58DD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BF58DD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312AE3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312AE3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312AE3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312AE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2019-03-16T18:11:00Z</dcterms:created>
  <dcterms:modified xsi:type="dcterms:W3CDTF">2019-03-16T18:11:00Z</dcterms:modified>
</cp:coreProperties>
</file>