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ADB" w:rsidRPr="007D73BF" w:rsidRDefault="00790ADB" w:rsidP="00790ADB">
      <w:pPr>
        <w:pStyle w:val="Akti"/>
        <w:rPr>
          <w:lang w:val="sq-AL"/>
        </w:rPr>
      </w:pPr>
      <w:bookmarkStart w:id="0" w:name="_GoBack"/>
      <w:bookmarkEnd w:id="0"/>
      <w:r w:rsidRPr="007D73BF">
        <w:rPr>
          <w:lang w:val="sq-AL"/>
        </w:rPr>
        <w:t>VENDIM</w:t>
      </w:r>
    </w:p>
    <w:p w:rsidR="00790ADB" w:rsidRPr="007D73BF" w:rsidRDefault="00790ADB" w:rsidP="00790ADB">
      <w:pPr>
        <w:pStyle w:val="NumriData"/>
        <w:rPr>
          <w:lang w:val="sq-AL"/>
        </w:rPr>
      </w:pPr>
      <w:r w:rsidRPr="007D73BF">
        <w:rPr>
          <w:lang w:val="sq-AL"/>
        </w:rPr>
        <w:t>Nr.267, datë 5.3.2008</w:t>
      </w: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Titulli"/>
        <w:rPr>
          <w:lang w:val="sq-AL"/>
        </w:rPr>
      </w:pPr>
      <w:r w:rsidRPr="007D73BF">
        <w:rPr>
          <w:lang w:val="sq-AL"/>
        </w:rPr>
        <w:t>PËR SHPRONËSIM</w:t>
      </w:r>
      <w:r>
        <w:rPr>
          <w:lang w:val="sq-AL"/>
        </w:rPr>
        <w:t>in</w:t>
      </w:r>
      <w:r w:rsidRPr="007D73BF">
        <w:rPr>
          <w:lang w:val="sq-AL"/>
        </w:rPr>
        <w:t>, PËR INTERES PUBLIK, TË PRONARËVE TË PASURIVE TË PALUAJTSHME, PRONË PRIVATE, QË PREKEN NGA NDËRTIMI I FUSHËS SË MBETJEVE URBANE, PESHKOPI</w:t>
      </w: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90ADB" w:rsidRDefault="00790ADB" w:rsidP="00790ADB">
      <w:pPr>
        <w:pStyle w:val="BazLigjPropozues"/>
      </w:pPr>
      <w:r w:rsidRPr="00790ADB">
        <w:t>Në mbështetje të nenit 100 të Kushtetutës, të neneve 5 pika 1, 20 e 21 të ligjit nr.8561, datë 22.12.1999 “Për shpronësimet dhe marrjen në përdorim të përkohshëm të pasurisë, pronë private, për interes publik”, dhe të nenit 8 të ligjit nr.9464, datë 28.12.2005 “Për Buxhetin e Shtetit të vitit 2006”, të ndryshuar, me propozimin e Ministrit të Punëve Publike, Transportit dhe Telekomunikacionit, Këshilli i Ministrave</w:t>
      </w:r>
    </w:p>
    <w:p w:rsidR="00790ADB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VENDOSI"/>
        <w:rPr>
          <w:lang w:val="sq-AL"/>
        </w:rPr>
      </w:pPr>
      <w:r w:rsidRPr="007D73BF">
        <w:rPr>
          <w:lang w:val="sq-AL"/>
        </w:rPr>
        <w:t>VENDOSI:</w:t>
      </w: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1.  Shpronësimin, për interes publik, të pronarëve të pasurive të paluajtshme, pronë private, që preken nga ndërtimi i fushës së mbetjeve urbane, në qytetin e Peshkopisë.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2.  Shpronësimi të bëhet në favor të bashkisë Peshkopi.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3.  Pronarët e pasurive të paluajtshme, që shpronësohen, të kompensohen në lekë, në vlerë të plotë, sipas masës përkatëse, që paraqitet në tabelën, që i bashkëlidhet këtij vendimi dhe është pjesë përbërëse e tij, për sipërfaqen 8 000 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>, tokë/arë, e vlerësuar me 400 lekë</w:t>
      </w:r>
      <w:r>
        <w:rPr>
          <w:lang w:val="sq-AL"/>
        </w:rPr>
        <w:t>/</w:t>
      </w:r>
      <w:r w:rsidRPr="007D73BF">
        <w:rPr>
          <w:lang w:val="sq-AL"/>
        </w:rPr>
        <w:t>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>, me vlerë shpronësimi 3 200 000 (tre milionë e dyqind mijë) lekë.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4. Shpenzimet procedurale, në shumën 99 000 (nëntëdhjetë e nëntë mijë) lekë, të përballohen nga bashkia Peshkopi.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5. Vlera e përgjithshme e shpronësimit, 3 200 000 (tre milionë e dyqind mijë) lekë, të përballohet nga llogaria e veçantë e Ministrisë së Financave në Bankën e Shqipërisë “Fondi i shpronësimeve”.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6.  Shpronësimi të fillojë e të përfundojë brenda muajit mars 2008.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7.  Bashkia Peshkopi të bëjë likuidimin e pronarëve, brenda afatit të parashikuar në pikë</w:t>
      </w:r>
      <w:r>
        <w:rPr>
          <w:lang w:val="sq-AL"/>
        </w:rPr>
        <w:t>n 6</w:t>
      </w:r>
      <w:r w:rsidRPr="007D73BF">
        <w:rPr>
          <w:lang w:val="sq-AL"/>
        </w:rPr>
        <w:t xml:space="preserve"> të këtij vendimi.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8.  Pronarët e përmendur në listën, që i bashkëlidhet këtij vendimi, për të cilët është bërë shënimi “Proces regjistrimi”, të kompensohen, për efekt shpronësimi, pasi të ketë përfunduar procesi i regjistrimit dhe të kenë paraqitur dokumentacionin e pronësisë pranë bashkisë Peshkopi, dhe ata, për të cilët është bërë shënimi “Plotësim dokumentacioni”, të kompensohen pasi të kenë paraqitur dokumentacionin e pronësisë, pranë subjektit kërkues, bashkia Peshkopi.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9.  Ngarkohen Ministria e Punëve Publike, Transportit dhe Telekomunikacionit dhe bashkia Peshkopi për zbatimin e këtij vendimi.</w:t>
      </w: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t>Ky vendim hyn në fuqi menjëherë dhe botohet në</w:t>
      </w:r>
      <w:r>
        <w:rPr>
          <w:lang w:val="sq-AL"/>
        </w:rPr>
        <w:t xml:space="preserve"> Fletoren Z</w:t>
      </w:r>
      <w:r w:rsidRPr="007D73BF">
        <w:rPr>
          <w:lang w:val="sq-AL"/>
        </w:rPr>
        <w:t>yrtare.</w:t>
      </w: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Autoriteti"/>
        <w:rPr>
          <w:lang w:val="sq-AL"/>
        </w:rPr>
      </w:pPr>
      <w:r w:rsidRPr="007D73BF">
        <w:rPr>
          <w:lang w:val="sq-AL"/>
        </w:rPr>
        <w:t>KRYEMINISTRI</w:t>
      </w:r>
    </w:p>
    <w:p w:rsidR="00790ADB" w:rsidRPr="007D73BF" w:rsidRDefault="00790ADB" w:rsidP="00790ADB">
      <w:pPr>
        <w:pStyle w:val="AutoritetiEmer"/>
        <w:rPr>
          <w:lang w:val="sq-AL"/>
        </w:rPr>
      </w:pPr>
      <w:r w:rsidRPr="007D73BF">
        <w:rPr>
          <w:lang w:val="sq-AL"/>
        </w:rPr>
        <w:t>Sali  Berisha</w:t>
      </w: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Paragrafi"/>
        <w:jc w:val="center"/>
        <w:rPr>
          <w:lang w:val="sq-AL"/>
        </w:rPr>
      </w:pPr>
      <w:r w:rsidRPr="007D73BF">
        <w:rPr>
          <w:lang w:val="sq-AL"/>
        </w:rPr>
        <w:t>LISTA E PRONARËVE TË CILËT DO TË SHPRONËSOHEN SI REZULTAT I  NDËRTIMIT TË FUSHËS SË MBETJEVE URBANE</w:t>
      </w:r>
      <w:r>
        <w:rPr>
          <w:lang w:val="sq-AL"/>
        </w:rPr>
        <w:t>,</w:t>
      </w:r>
      <w:r w:rsidRPr="007D73BF">
        <w:rPr>
          <w:lang w:val="sq-AL"/>
        </w:rPr>
        <w:t xml:space="preserve"> PESHKOPI</w:t>
      </w:r>
    </w:p>
    <w:p w:rsidR="00790ADB" w:rsidRPr="007D73BF" w:rsidRDefault="00790ADB" w:rsidP="00790ADB">
      <w:pPr>
        <w:pStyle w:val="Paragrafi"/>
        <w:rPr>
          <w:lang w:val="sq-AL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2110"/>
        <w:gridCol w:w="1182"/>
        <w:gridCol w:w="942"/>
        <w:gridCol w:w="1389"/>
        <w:gridCol w:w="2583"/>
      </w:tblGrid>
      <w:tr w:rsidR="00790ADB" w:rsidRPr="00790ADB">
        <w:trPr>
          <w:jc w:val="center"/>
        </w:trPr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Nr.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Emri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Sipërfaqja/</w:t>
            </w:r>
          </w:p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tokë arë</w:t>
            </w:r>
          </w:p>
        </w:tc>
        <w:tc>
          <w:tcPr>
            <w:tcW w:w="942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Çmimi</w:t>
            </w:r>
          </w:p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l/m2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Vlera në lekë</w:t>
            </w:r>
          </w:p>
        </w:tc>
        <w:tc>
          <w:tcPr>
            <w:tcW w:w="2583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Shënime</w:t>
            </w:r>
          </w:p>
        </w:tc>
      </w:tr>
      <w:tr w:rsidR="00790ADB" w:rsidRPr="00790ADB">
        <w:trPr>
          <w:jc w:val="center"/>
        </w:trPr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1.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Bedri Fiqiri Shehu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3685</w:t>
            </w:r>
          </w:p>
        </w:tc>
        <w:tc>
          <w:tcPr>
            <w:tcW w:w="942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400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1 474 000</w:t>
            </w:r>
          </w:p>
        </w:tc>
        <w:tc>
          <w:tcPr>
            <w:tcW w:w="2583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Plotësim dokumentacioni</w:t>
            </w:r>
          </w:p>
        </w:tc>
      </w:tr>
      <w:tr w:rsidR="00790ADB" w:rsidRPr="00790ADB">
        <w:trPr>
          <w:jc w:val="center"/>
        </w:trPr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2.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Baftjar Bajram Zajmi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3015</w:t>
            </w:r>
          </w:p>
        </w:tc>
        <w:tc>
          <w:tcPr>
            <w:tcW w:w="942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400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1 206 000</w:t>
            </w:r>
          </w:p>
        </w:tc>
        <w:tc>
          <w:tcPr>
            <w:tcW w:w="2583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Proces regjistrimi</w:t>
            </w:r>
          </w:p>
        </w:tc>
      </w:tr>
      <w:tr w:rsidR="00790ADB" w:rsidRPr="00790ADB">
        <w:trPr>
          <w:jc w:val="center"/>
        </w:trPr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3.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Emin Begu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630</w:t>
            </w:r>
          </w:p>
        </w:tc>
        <w:tc>
          <w:tcPr>
            <w:tcW w:w="942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400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252 000</w:t>
            </w:r>
          </w:p>
        </w:tc>
        <w:tc>
          <w:tcPr>
            <w:tcW w:w="2583" w:type="dxa"/>
          </w:tcPr>
          <w:p w:rsidR="00790ADB" w:rsidRPr="00790ADB" w:rsidRDefault="00790ADB" w:rsidP="00790ADB">
            <w:pPr>
              <w:pStyle w:val="Tabele"/>
              <w:jc w:val="center"/>
            </w:pPr>
            <w:r w:rsidRPr="00790ADB">
              <w:t>Proces regjistrimi</w:t>
            </w:r>
          </w:p>
        </w:tc>
      </w:tr>
      <w:tr w:rsidR="00790ADB" w:rsidRPr="00790ADB">
        <w:trPr>
          <w:jc w:val="center"/>
        </w:trPr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  <w:r w:rsidRPr="00790ADB">
              <w:t>4.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  <w:r w:rsidRPr="00790ADB">
              <w:t>Hashim Shehu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  <w:r w:rsidRPr="00790ADB">
              <w:t>670</w:t>
            </w:r>
          </w:p>
        </w:tc>
        <w:tc>
          <w:tcPr>
            <w:tcW w:w="942" w:type="dxa"/>
          </w:tcPr>
          <w:p w:rsidR="00790ADB" w:rsidRPr="00790ADB" w:rsidRDefault="00790ADB" w:rsidP="00790ADB">
            <w:pPr>
              <w:pStyle w:val="Tabele"/>
            </w:pPr>
            <w:r w:rsidRPr="00790ADB">
              <w:t>400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  <w:r w:rsidRPr="00790ADB">
              <w:t>268 000</w:t>
            </w:r>
          </w:p>
        </w:tc>
        <w:tc>
          <w:tcPr>
            <w:tcW w:w="2583" w:type="dxa"/>
          </w:tcPr>
          <w:p w:rsidR="00790ADB" w:rsidRPr="00790ADB" w:rsidRDefault="00790ADB" w:rsidP="00790ADB">
            <w:pPr>
              <w:pStyle w:val="Tabele"/>
            </w:pPr>
            <w:r w:rsidRPr="00790ADB">
              <w:t>Proces regjistrimi</w:t>
            </w:r>
          </w:p>
        </w:tc>
      </w:tr>
      <w:tr w:rsidR="00790ADB" w:rsidRPr="00790ADB">
        <w:trPr>
          <w:jc w:val="center"/>
        </w:trPr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  <w:r w:rsidRPr="00790ADB">
              <w:t>Shuma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  <w:r w:rsidRPr="00790ADB">
              <w:t>8000</w:t>
            </w:r>
          </w:p>
        </w:tc>
        <w:tc>
          <w:tcPr>
            <w:tcW w:w="942" w:type="dxa"/>
          </w:tcPr>
          <w:p w:rsidR="00790ADB" w:rsidRPr="00790ADB" w:rsidRDefault="00790ADB" w:rsidP="00790ADB">
            <w:pPr>
              <w:pStyle w:val="Tabele"/>
            </w:pPr>
            <w:r w:rsidRPr="00790ADB">
              <w:t>400</w:t>
            </w:r>
          </w:p>
        </w:tc>
        <w:tc>
          <w:tcPr>
            <w:tcW w:w="0" w:type="auto"/>
          </w:tcPr>
          <w:p w:rsidR="00790ADB" w:rsidRPr="00790ADB" w:rsidRDefault="00790ADB" w:rsidP="00790ADB">
            <w:pPr>
              <w:pStyle w:val="Tabele"/>
            </w:pPr>
            <w:r w:rsidRPr="00790ADB">
              <w:t>3 200 000</w:t>
            </w:r>
          </w:p>
        </w:tc>
        <w:tc>
          <w:tcPr>
            <w:tcW w:w="2583" w:type="dxa"/>
          </w:tcPr>
          <w:p w:rsidR="00790ADB" w:rsidRPr="00790ADB" w:rsidRDefault="00790ADB" w:rsidP="00790ADB">
            <w:pPr>
              <w:pStyle w:val="Tabele"/>
            </w:pPr>
          </w:p>
        </w:tc>
      </w:tr>
    </w:tbl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790ADB" w:rsidP="00790ADB">
      <w:pPr>
        <w:pStyle w:val="Paragrafi"/>
        <w:rPr>
          <w:lang w:val="sq-AL"/>
        </w:rPr>
      </w:pPr>
      <w:r w:rsidRPr="007D73BF">
        <w:rPr>
          <w:lang w:val="sq-AL"/>
        </w:rPr>
        <w:lastRenderedPageBreak/>
        <w:t>Vlera totale e këtij shpronësimi është 3 200 000 (tre milion</w:t>
      </w:r>
      <w:r>
        <w:rPr>
          <w:lang w:val="sq-AL"/>
        </w:rPr>
        <w:t>ë</w:t>
      </w:r>
      <w:r w:rsidRPr="007D73BF">
        <w:rPr>
          <w:lang w:val="sq-AL"/>
        </w:rPr>
        <w:t xml:space="preserve"> e dyqind mijë) lekë.</w:t>
      </w: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Pr="007D73BF" w:rsidRDefault="00EC3D61" w:rsidP="00790ADB">
      <w:pPr>
        <w:pStyle w:val="Figure"/>
      </w:pPr>
      <w:r w:rsidRPr="001B3F9D">
        <w:rPr>
          <w:noProof/>
          <w:lang w:val="en-GB" w:eastAsia="en-GB"/>
        </w:rPr>
        <w:drawing>
          <wp:inline distT="0" distB="0" distL="0" distR="0">
            <wp:extent cx="5753100" cy="8448675"/>
            <wp:effectExtent l="19050" t="19050" r="19050" b="28575"/>
            <wp:docPr id="1" name="Picture 1" descr="harta vend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 vend 2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90ADB" w:rsidRPr="007D73BF" w:rsidRDefault="00790ADB" w:rsidP="00790ADB">
      <w:pPr>
        <w:pStyle w:val="Paragrafi"/>
        <w:rPr>
          <w:lang w:val="sq-AL"/>
        </w:rPr>
      </w:pPr>
    </w:p>
    <w:p w:rsidR="00790ADB" w:rsidRDefault="00790ADB" w:rsidP="00790ADB">
      <w:pPr>
        <w:pStyle w:val="Akti"/>
        <w:rPr>
          <w:lang w:val="sq-AL"/>
        </w:rPr>
      </w:pPr>
    </w:p>
    <w:p w:rsidR="00790ADB" w:rsidRDefault="00EC3D61" w:rsidP="00790ADB">
      <w:pPr>
        <w:pStyle w:val="Figure"/>
      </w:pPr>
      <w:r w:rsidRPr="002749AB">
        <w:rPr>
          <w:noProof/>
          <w:lang w:val="en-GB" w:eastAsia="en-GB"/>
        </w:rPr>
        <w:drawing>
          <wp:inline distT="0" distB="0" distL="0" distR="0">
            <wp:extent cx="5600700" cy="7972425"/>
            <wp:effectExtent l="19050" t="19050" r="19050" b="28575"/>
            <wp:docPr id="2" name="Picture 2" descr="har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8" r="2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9724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790AD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0ADB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790ADB"/>
    <w:rsid w:val="009723D5"/>
    <w:rsid w:val="009C7562"/>
    <w:rsid w:val="00BD1D25"/>
    <w:rsid w:val="00BF58DD"/>
    <w:rsid w:val="00C84B66"/>
    <w:rsid w:val="00EC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241E22-5C94-4783-94C3-BA30A02C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AD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90AD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90AD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90AD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90A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90A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