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D7A" w:rsidRPr="00BF3D7A" w:rsidRDefault="00BF3D7A" w:rsidP="00BF3D7A">
      <w:pPr>
        <w:pStyle w:val="Akti"/>
        <w:keepNext w:val="0"/>
        <w:rPr>
          <w:lang w:val="sq-AL"/>
        </w:rPr>
      </w:pPr>
      <w:bookmarkStart w:id="0" w:name="_GoBack"/>
      <w:bookmarkEnd w:id="0"/>
      <w:r w:rsidRPr="00BF3D7A">
        <w:rPr>
          <w:lang w:val="sq-AL"/>
        </w:rPr>
        <w:t>VENDIM</w:t>
      </w:r>
    </w:p>
    <w:p w:rsidR="00BF3D7A" w:rsidRPr="00BF3D7A" w:rsidRDefault="00BF3D7A" w:rsidP="00BF3D7A">
      <w:pPr>
        <w:pStyle w:val="NumriData"/>
        <w:keepNext w:val="0"/>
        <w:rPr>
          <w:rStyle w:val="ParagrafiChar"/>
        </w:rPr>
      </w:pPr>
      <w:r w:rsidRPr="00BF3D7A">
        <w:rPr>
          <w:lang w:val="sq-AL"/>
        </w:rPr>
        <w:t>Nr.4</w:t>
      </w:r>
      <w:r w:rsidRPr="00BF3D7A">
        <w:rPr>
          <w:rStyle w:val="ParagrafiChar"/>
        </w:rPr>
        <w:t>34, datë 8.4.2008 </w:t>
      </w:r>
    </w:p>
    <w:p w:rsidR="00BF3D7A" w:rsidRPr="00BF3D7A" w:rsidRDefault="00BF3D7A" w:rsidP="00BF3D7A">
      <w:pPr>
        <w:pStyle w:val="Paragrafi"/>
        <w:rPr>
          <w:sz w:val="16"/>
          <w:lang w:val="sq-AL"/>
        </w:rPr>
      </w:pPr>
    </w:p>
    <w:p w:rsidR="00BF3D7A" w:rsidRPr="00BF3D7A" w:rsidRDefault="00BF3D7A" w:rsidP="00BF3D7A">
      <w:pPr>
        <w:pStyle w:val="Titulli"/>
        <w:keepNext w:val="0"/>
        <w:rPr>
          <w:lang w:val="sq-AL"/>
        </w:rPr>
      </w:pPr>
      <w:r w:rsidRPr="00BF3D7A">
        <w:rPr>
          <w:lang w:val="sq-AL"/>
        </w:rPr>
        <w:t>PËR MIRATIMIN E LISTËS ME NUMRAT DHE TITUJT E STANDARDEVE TË HARMONIZUARA SHQIPTARE, ME KARAKTER REFERUES, PËR PREZUMIMIN E KONFORMITETIT TË ENËVE TË THJESHTA NËN PRESION</w:t>
      </w:r>
    </w:p>
    <w:p w:rsidR="00BF3D7A" w:rsidRPr="00BF3D7A" w:rsidRDefault="00BF3D7A" w:rsidP="00BF3D7A">
      <w:pPr>
        <w:pStyle w:val="Paragrafi"/>
        <w:rPr>
          <w:sz w:val="16"/>
          <w:lang w:val="sq-AL"/>
        </w:rPr>
      </w:pPr>
      <w:r w:rsidRPr="00BF3D7A">
        <w:rPr>
          <w:lang w:val="sq-AL"/>
        </w:rPr>
        <w:t> </w:t>
      </w:r>
    </w:p>
    <w:p w:rsidR="00BF3D7A" w:rsidRPr="00BF3D7A" w:rsidRDefault="00BF3D7A" w:rsidP="00BF3D7A">
      <w:pPr>
        <w:pStyle w:val="BazLigjPropozues"/>
      </w:pPr>
      <w:r w:rsidRPr="00BF3D7A">
        <w:t>Në mbështetje të nenit 100 të Kushtetutës dhe të nenit 2 të lig</w:t>
      </w:r>
      <w:r w:rsidRPr="00BF3D7A">
        <w:rPr>
          <w:rFonts w:eastAsia="MS Mincho"/>
        </w:rPr>
        <w:t>jit nr.9779, datë 16.7.2007</w:t>
      </w:r>
      <w:r w:rsidRPr="00BF3D7A">
        <w:t xml:space="preserve"> “Për sigurinë e përgjithshme, kërkesat thelbësore dhe vlerësimin e konformitetit të produkteve joushqimore”, me propozimin e Ministrit të Ekonomisë, Tregtisë dhe Energjetikës, Këshilli i Ministrave</w:t>
      </w:r>
    </w:p>
    <w:p w:rsidR="00BF3D7A" w:rsidRPr="00BF3D7A" w:rsidRDefault="00BF3D7A" w:rsidP="00BF3D7A">
      <w:pPr>
        <w:pStyle w:val="Paragrafi"/>
        <w:rPr>
          <w:sz w:val="16"/>
          <w:lang w:val="sq-AL"/>
        </w:rPr>
      </w:pPr>
      <w:r w:rsidRPr="00BF3D7A">
        <w:rPr>
          <w:lang w:val="sq-AL"/>
        </w:rPr>
        <w:t> </w:t>
      </w:r>
    </w:p>
    <w:p w:rsidR="00BF3D7A" w:rsidRPr="00BF3D7A" w:rsidRDefault="00BF3D7A" w:rsidP="00BF3D7A">
      <w:pPr>
        <w:pStyle w:val="VENDOSI"/>
        <w:rPr>
          <w:lang w:val="sq-AL"/>
        </w:rPr>
      </w:pPr>
      <w:r w:rsidRPr="00BF3D7A">
        <w:rPr>
          <w:lang w:val="sq-AL"/>
        </w:rPr>
        <w:t>VENDOSI:</w:t>
      </w:r>
    </w:p>
    <w:p w:rsidR="00BF3D7A" w:rsidRPr="00BF3D7A" w:rsidRDefault="00BF3D7A" w:rsidP="00BF3D7A">
      <w:pPr>
        <w:pStyle w:val="Paragrafi"/>
        <w:rPr>
          <w:sz w:val="16"/>
          <w:lang w:val="sq-AL"/>
        </w:rPr>
      </w:pPr>
      <w:r w:rsidRPr="00BF3D7A">
        <w:rPr>
          <w:lang w:val="sq-AL"/>
        </w:rPr>
        <w:t> </w:t>
      </w:r>
    </w:p>
    <w:p w:rsidR="00BF3D7A" w:rsidRPr="00BF3D7A" w:rsidRDefault="00BF3D7A" w:rsidP="00BF3D7A">
      <w:pPr>
        <w:pStyle w:val="Paragrafi"/>
        <w:rPr>
          <w:lang w:val="sq-AL"/>
        </w:rPr>
      </w:pPr>
      <w:r w:rsidRPr="00BF3D7A">
        <w:rPr>
          <w:lang w:val="sq-AL"/>
        </w:rPr>
        <w:t>Miratimin e listë</w:t>
      </w:r>
      <w:r w:rsidRPr="00BF3D7A">
        <w:rPr>
          <w:rFonts w:eastAsia="MS Mincho"/>
          <w:lang w:val="sq-AL"/>
        </w:rPr>
        <w:t>s me numrat dhe titujt e standardeve të harmonizuara shqiptare, që i bashkëlidhen këtij vendimi, të cilat do të shërbejnë si dokumente reference, për prezumimin e konformitetit të enëve të thjeshta nën presion, sipas kërkesave thelbësore, të përcaktuara në vendimin nr.889, datë 19.12.2</w:t>
      </w:r>
      <w:r w:rsidRPr="00BF3D7A">
        <w:rPr>
          <w:lang w:val="sq-AL"/>
        </w:rPr>
        <w:t>007 të Këshillit të Ministrave “Për kërkesat thelbësore dhe vlerësimin e konformitetit të enëve të thjeshta nën presion”.</w:t>
      </w:r>
    </w:p>
    <w:p w:rsidR="00BF3D7A" w:rsidRPr="00BF3D7A" w:rsidRDefault="00BF3D7A" w:rsidP="00BF3D7A">
      <w:pPr>
        <w:pStyle w:val="Paragrafi"/>
        <w:rPr>
          <w:lang w:val="sq-AL"/>
        </w:rPr>
      </w:pPr>
      <w:r w:rsidRPr="00BF3D7A">
        <w:rPr>
          <w:lang w:val="sq-AL"/>
        </w:rPr>
        <w:t> Ky vendim hyn në fuqi pas botimit në Fletoren Zyrtare.</w:t>
      </w:r>
    </w:p>
    <w:p w:rsidR="00BF3D7A" w:rsidRPr="00BF3D7A" w:rsidRDefault="00BF3D7A" w:rsidP="00BF3D7A">
      <w:pPr>
        <w:pStyle w:val="Autoriteti"/>
        <w:rPr>
          <w:lang w:val="sq-AL"/>
        </w:rPr>
      </w:pPr>
      <w:r w:rsidRPr="00BF3D7A">
        <w:rPr>
          <w:lang w:val="sq-AL"/>
        </w:rPr>
        <w:t> KRYEMINISTRI</w:t>
      </w:r>
    </w:p>
    <w:p w:rsidR="00BF3D7A" w:rsidRPr="00BF3D7A" w:rsidRDefault="00BF3D7A" w:rsidP="00BF3D7A">
      <w:pPr>
        <w:pStyle w:val="AutoritetiEmer"/>
        <w:rPr>
          <w:lang w:val="sq-AL"/>
        </w:rPr>
      </w:pPr>
      <w:r w:rsidRPr="00BF3D7A">
        <w:rPr>
          <w:lang w:val="sq-AL"/>
        </w:rPr>
        <w:t>Sali  Berisha</w:t>
      </w:r>
    </w:p>
    <w:p w:rsidR="00BF3D7A" w:rsidRPr="00BF3D7A" w:rsidRDefault="00BF3D7A" w:rsidP="00BF3D7A">
      <w:pPr>
        <w:pStyle w:val="TitulliTitull"/>
        <w:rPr>
          <w:lang w:val="sq-AL"/>
        </w:rPr>
      </w:pPr>
    </w:p>
    <w:p w:rsidR="00BF3D7A" w:rsidRPr="00BF3D7A" w:rsidRDefault="00BF3D7A" w:rsidP="00BF3D7A">
      <w:pPr>
        <w:pStyle w:val="TitulliTitull"/>
        <w:rPr>
          <w:lang w:val="sq-AL"/>
        </w:rPr>
      </w:pPr>
    </w:p>
    <w:p w:rsidR="00BF3D7A" w:rsidRPr="00BF3D7A" w:rsidRDefault="00BF3D7A" w:rsidP="00BF3D7A">
      <w:pPr>
        <w:pStyle w:val="TitulliTitull"/>
        <w:rPr>
          <w:rStyle w:val="ParagrafiChar"/>
          <w:lang w:val="sq-AL"/>
        </w:rPr>
      </w:pPr>
      <w:r w:rsidRPr="00BF3D7A">
        <w:rPr>
          <w:lang w:val="sq-AL"/>
        </w:rPr>
        <w:t xml:space="preserve">LISTA E STANDARDEVE </w:t>
      </w:r>
      <w:r w:rsidRPr="00BF3D7A">
        <w:rPr>
          <w:rStyle w:val="ParagrafiChar"/>
          <w:lang w:val="sq-AL"/>
        </w:rPr>
        <w:t>TË HARMONIZUARA SHQIPTARE QË KANË KARAKTER REFERUES PËR PREZUMIMIN E KONFORMITETIT TË ENËVE TË THJESHTA NËN PRESION, SIPAS VENDIMIT TË KËSHILLIT TË MINISTRAVE NR.889, DATË 19.12.2007</w:t>
      </w:r>
    </w:p>
    <w:p w:rsidR="00BF3D7A" w:rsidRPr="00BF3D7A" w:rsidRDefault="00BF3D7A" w:rsidP="00BF3D7A">
      <w:pPr>
        <w:pStyle w:val="Paragrafi"/>
        <w:ind w:firstLine="0"/>
        <w:rPr>
          <w:lang w:val="sq-AL"/>
        </w:rPr>
      </w:pPr>
    </w:p>
    <w:tbl>
      <w:tblPr>
        <w:tblStyle w:val="Institucioni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5297"/>
        <w:gridCol w:w="1440"/>
        <w:gridCol w:w="1973"/>
      </w:tblGrid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lastRenderedPageBreak/>
              <w:t>Nr.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Referenca dhe titulli i standardit të harmonizuar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  <w:rPr>
                <w:rFonts w:eastAsia="MS Mincho"/>
                <w:lang w:val="en-US"/>
              </w:rPr>
            </w:pPr>
            <w:r w:rsidRPr="00BF3D7A">
              <w:t>Viti i adoptimit s</w:t>
            </w:r>
            <w:r w:rsidRPr="00BF3D7A">
              <w:rPr>
                <w:rFonts w:eastAsia="MS Mincho"/>
                <w:lang w:val="en-US"/>
              </w:rPr>
              <w:t>i standard  shqiptar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S SH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Mënyra e adoptimit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(me faqe të parë, Fp, ose me përkthim të plotë Pp)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1.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286-1:1998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 xml:space="preserve">Enë të thjeshta në presion rezistente ndaj zërit, që shërbejnë për mbajtjen e ajrit ose të azotit -Pjesa 1: Enët në presion për përdorim </w:t>
            </w:r>
            <w:r w:rsidRPr="00BF3D7A">
              <w:rPr>
                <w:rFonts w:eastAsia="MS Mincho"/>
                <w:lang w:val="en-US"/>
              </w:rPr>
              <w:t>të përgjithshëm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2003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286-1:1998/A1:2002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2003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286-1:1998/A2:2005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286-1:1998/AC:2002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2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286-2:1992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Enë të thjeshta në presion të lartë, pa ngrohje, për mbajtje azoti dhe ajri – Pjesa 2: Enë në presi</w:t>
            </w:r>
            <w:r w:rsidRPr="00BF3D7A">
              <w:rPr>
                <w:rFonts w:eastAsia="MS Mincho"/>
                <w:lang w:val="en-US"/>
              </w:rPr>
              <w:t>on të lartë për frena me ajër dhe sisteme ndihmëse për automjete me motor dhe për rimorkiot e tyre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1997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286-2:1992/AC:1992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3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286-3:1994</w:t>
            </w:r>
          </w:p>
          <w:p w:rsidR="00BF3D7A" w:rsidRPr="00BF3D7A" w:rsidRDefault="00BF3D7A" w:rsidP="00BF3D7A">
            <w:pPr>
              <w:pStyle w:val="Tabele"/>
              <w:rPr>
                <w:rFonts w:eastAsia="MS Mincho"/>
                <w:lang w:val="en-US"/>
              </w:rPr>
            </w:pPr>
            <w:r w:rsidRPr="00BF3D7A">
              <w:t xml:space="preserve">Enët e thjeshta nën presion që nuk i ekspozohen zjarrit, të destinuara të mbajnë ajër dhe </w:t>
            </w:r>
            <w:r w:rsidRPr="00BF3D7A">
              <w:rPr>
                <w:rFonts w:eastAsia="MS Mincho"/>
                <w:lang w:val="en-US"/>
              </w:rPr>
              <w:t>azot- Pjesa 3: Enët nën presion prej çeliku, të destinuara për pajisje frenimi me ajër dhe pajisje pneumatike ndihmëse për lokomotiva dhe vagonë hekurudhorë</w:t>
            </w:r>
          </w:p>
          <w:p w:rsidR="00BF3D7A" w:rsidRPr="00BF3D7A" w:rsidRDefault="00BF3D7A" w:rsidP="00BF3D7A">
            <w:pPr>
              <w:pStyle w:val="Tabele"/>
            </w:pP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2003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4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 xml:space="preserve">S SH EN 286-4:1994 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Enët e thjeshta nën presion që nuk i ekspozohen zjarrit, të destinu</w:t>
            </w:r>
            <w:r w:rsidRPr="00BF3D7A">
              <w:rPr>
                <w:rFonts w:eastAsia="MS Mincho"/>
                <w:lang w:val="en-US"/>
              </w:rPr>
              <w:t>ara të mbajnë ajër dhe azot-Pjesa 4: Enët nën presion prej lidhjeje alumini, të destinuara për pajisje frenimi me ajër dhe pajisje pneumatike për lokomotiva dhe vagonë hekurudhorë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2003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5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287-1:2004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Prova miratuese për saldatorë-Saldimet me shkr</w:t>
            </w:r>
            <w:r w:rsidRPr="00BF3D7A">
              <w:rPr>
                <w:rFonts w:eastAsia="MS Mincho"/>
                <w:lang w:val="en-US"/>
              </w:rPr>
              <w:t>irje-Pjesa 1: Çeliqet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287-1:2004/A2:2006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287-1:2004/AC:2004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6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571-1:1997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Provat pa shkatërrim-Provat me depërtim-Pjesa 1:Parime të përgjithshme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2001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7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583-1:1998</w:t>
            </w:r>
          </w:p>
          <w:p w:rsidR="00BF3D7A" w:rsidRPr="00BF3D7A" w:rsidRDefault="00BF3D7A" w:rsidP="00BF3D7A">
            <w:pPr>
              <w:pStyle w:val="Tabele"/>
              <w:rPr>
                <w:lang w:val="it-IT"/>
              </w:rPr>
            </w:pPr>
            <w:r w:rsidRPr="00BF3D7A">
              <w:t xml:space="preserve">Prova pa shkatërrim. </w:t>
            </w:r>
            <w:r w:rsidRPr="00BF3D7A">
              <w:rPr>
                <w:lang w:val="it-IT"/>
              </w:rPr>
              <w:t>Kontroll</w:t>
            </w:r>
            <w:r w:rsidRPr="00BF3D7A">
              <w:rPr>
                <w:rFonts w:eastAsia="MS Mincho"/>
                <w:lang w:val="it-IT"/>
              </w:rPr>
              <w:t>i ultrasonik–Pjesa 1: parime të përgjithshme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2002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8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970:1997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Kontrolli pa shkatërrim të saldimit me shkrirje – Kontrolli pamor</w:t>
            </w:r>
          </w:p>
          <w:p w:rsidR="00BF3D7A" w:rsidRPr="00BF3D7A" w:rsidRDefault="00BF3D7A" w:rsidP="00BF3D7A">
            <w:pPr>
              <w:pStyle w:val="Tabele"/>
            </w:pP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lastRenderedPageBreak/>
              <w:t>2007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lastRenderedPageBreak/>
              <w:t>9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1011-1:1998</w:t>
            </w:r>
          </w:p>
          <w:p w:rsidR="00BF3D7A" w:rsidRPr="00BF3D7A" w:rsidRDefault="00BF3D7A" w:rsidP="00BF3D7A">
            <w:pPr>
              <w:pStyle w:val="Tabele"/>
              <w:rPr>
                <w:rFonts w:eastAsia="MS Mincho"/>
                <w:lang w:val="en-US"/>
              </w:rPr>
            </w:pPr>
            <w:r w:rsidRPr="00BF3D7A">
              <w:t>Saldimi-Rekomandime për saldimin e materialeve metalike-Pjesa 1: Udhëzim i përgjith</w:t>
            </w:r>
            <w:r w:rsidRPr="00BF3D7A">
              <w:rPr>
                <w:rFonts w:eastAsia="MS Mincho"/>
                <w:lang w:val="en-US"/>
              </w:rPr>
              <w:t>shëm për saldimin me hark</w:t>
            </w:r>
          </w:p>
          <w:p w:rsidR="00BF3D7A" w:rsidRPr="00BF3D7A" w:rsidRDefault="00BF3D7A" w:rsidP="00BF3D7A">
            <w:pPr>
              <w:pStyle w:val="Tabele"/>
            </w:pPr>
          </w:p>
          <w:p w:rsidR="00BF3D7A" w:rsidRPr="00BF3D7A" w:rsidRDefault="00BF3D7A" w:rsidP="00BF3D7A">
            <w:pPr>
              <w:pStyle w:val="Tabele"/>
            </w:pP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2000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10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1290:1998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Provat pa shkatërrim të saldimeve-Provat e saldimeve me grimca magnetike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2006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11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1330-3:1997</w:t>
            </w:r>
          </w:p>
          <w:p w:rsidR="00BF3D7A" w:rsidRPr="00BF3D7A" w:rsidRDefault="00BF3D7A" w:rsidP="00BF3D7A">
            <w:pPr>
              <w:pStyle w:val="Tabele"/>
              <w:rPr>
                <w:lang w:val="it-IT"/>
              </w:rPr>
            </w:pPr>
            <w:r w:rsidRPr="00BF3D7A">
              <w:t xml:space="preserve">Provat pa shkatërrim-terminologjia-Pjesa 3. </w:t>
            </w:r>
            <w:r w:rsidRPr="00BF3D7A">
              <w:rPr>
                <w:lang w:val="it-IT"/>
              </w:rPr>
              <w:t>Termat që përdoren në provat industriale radiogra</w:t>
            </w:r>
            <w:r w:rsidRPr="00BF3D7A">
              <w:rPr>
                <w:rFonts w:eastAsia="MS Mincho"/>
                <w:lang w:val="it-IT"/>
              </w:rPr>
              <w:t>fike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2002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12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1714:1997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Provat pa shkatërrim të saldimeve-Provat ultrazanore të bashkimeve të salduara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2000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13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ISO 6520-1:1998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Proceset e saldimit dhe bashkimeve të përhershme - Klasifikimi i defekteve gjeometrike në materialet metal</w:t>
            </w:r>
            <w:r w:rsidRPr="00BF3D7A">
              <w:rPr>
                <w:rFonts w:eastAsia="MS Mincho"/>
                <w:lang w:val="en-US"/>
              </w:rPr>
              <w:t>ike-Pjesa 1: Saldimi me shkrirje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2003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14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10207:2005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Çeliqe për enë në presion të thjeshtë-Kushtet teknike të furnizimit të fletëve, shiritave dhe shufrave prej çeliku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15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12062:1997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 xml:space="preserve">Provat pa shkatërrim të saldimeve-Rregulla të </w:t>
            </w:r>
            <w:r w:rsidRPr="00BF3D7A">
              <w:rPr>
                <w:rFonts w:eastAsia="MS Mincho"/>
                <w:lang w:val="en-US"/>
              </w:rPr>
              <w:t>përgjithshme për materialet metalike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2000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16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ISO 15614-1:2004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Specifikimi dhe kualifikimi i procedurave të saldimit për materiale metalike-Prova e kualifikimit të procedurës së saldimit-Pjesa 11:Saldimi me rreze elektronesh dhe rreze lazër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  <w:tr w:rsidR="00BF3D7A" w:rsidRPr="00BF3D7A">
        <w:tc>
          <w:tcPr>
            <w:tcW w:w="533" w:type="dxa"/>
          </w:tcPr>
          <w:p w:rsidR="00BF3D7A" w:rsidRPr="00BF3D7A" w:rsidRDefault="00BF3D7A" w:rsidP="00BF3D7A">
            <w:pPr>
              <w:pStyle w:val="Tabele"/>
            </w:pPr>
            <w:r w:rsidRPr="00BF3D7A">
              <w:t>17</w:t>
            </w:r>
          </w:p>
        </w:tc>
        <w:tc>
          <w:tcPr>
            <w:tcW w:w="5335" w:type="dxa"/>
          </w:tcPr>
          <w:p w:rsidR="00BF3D7A" w:rsidRPr="00BF3D7A" w:rsidRDefault="00BF3D7A" w:rsidP="00BF3D7A">
            <w:pPr>
              <w:pStyle w:val="Tabele"/>
            </w:pPr>
            <w:r w:rsidRPr="00BF3D7A">
              <w:t>S SH EN ISO 15614-2:2005</w:t>
            </w:r>
          </w:p>
          <w:p w:rsidR="00BF3D7A" w:rsidRPr="00BF3D7A" w:rsidRDefault="00BF3D7A" w:rsidP="00BF3D7A">
            <w:pPr>
              <w:pStyle w:val="Tabele"/>
            </w:pPr>
            <w:r w:rsidRPr="00BF3D7A">
              <w:t>Specifikimi dhe kualifikimi i procedurave të saldimit për materiale metalike-Prova e kualifikimit të procedurës së saldimit-Pjesa 2:Saldimi me hark i aluminit dhe lidhjeve të aluminit</w:t>
            </w:r>
          </w:p>
        </w:tc>
        <w:tc>
          <w:tcPr>
            <w:tcW w:w="1440" w:type="dxa"/>
          </w:tcPr>
          <w:p w:rsidR="00BF3D7A" w:rsidRPr="00BF3D7A" w:rsidRDefault="00BF3D7A" w:rsidP="00BF3D7A">
            <w:pPr>
              <w:pStyle w:val="Tabele"/>
            </w:pPr>
            <w:r w:rsidRPr="00BF3D7A">
              <w:t>2007</w:t>
            </w:r>
          </w:p>
        </w:tc>
        <w:tc>
          <w:tcPr>
            <w:tcW w:w="1979" w:type="dxa"/>
          </w:tcPr>
          <w:p w:rsidR="00BF3D7A" w:rsidRPr="00BF3D7A" w:rsidRDefault="00BF3D7A" w:rsidP="00BF3D7A">
            <w:pPr>
              <w:pStyle w:val="Tabele"/>
            </w:pPr>
            <w:r w:rsidRPr="00BF3D7A">
              <w:t>Fp</w:t>
            </w:r>
          </w:p>
        </w:tc>
      </w:tr>
    </w:tbl>
    <w:p w:rsidR="00BF3D7A" w:rsidRPr="00BF3D7A" w:rsidRDefault="00BF3D7A" w:rsidP="00BF3D7A">
      <w:pPr>
        <w:pStyle w:val="Paragrafi"/>
        <w:ind w:firstLine="0"/>
        <w:rPr>
          <w:lang w:val="sq-AL"/>
        </w:rPr>
      </w:pPr>
    </w:p>
    <w:p w:rsidR="00BF3D7A" w:rsidRPr="00BF3D7A" w:rsidRDefault="00BF3D7A" w:rsidP="00BF3D7A">
      <w:pPr>
        <w:pStyle w:val="Paragrafi"/>
        <w:rPr>
          <w:lang w:val="sq-AL"/>
        </w:rPr>
      </w:pPr>
    </w:p>
    <w:sectPr w:rsidR="00BF3D7A" w:rsidRPr="00BF3D7A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3D7A"/>
    <w:rsid w:val="000178C2"/>
    <w:rsid w:val="000540E9"/>
    <w:rsid w:val="000A780A"/>
    <w:rsid w:val="00143799"/>
    <w:rsid w:val="00211EE2"/>
    <w:rsid w:val="00215567"/>
    <w:rsid w:val="002B089D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C7562"/>
    <w:rsid w:val="00BD1D25"/>
    <w:rsid w:val="00BF3D7A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5D776B-A508-4E32-8554-283F6AF6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D7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215567"/>
    <w:rPr>
      <w:rFonts w:ascii="Tahoma" w:eastAsia="MS Mincho" w:hAnsi="Tahoma"/>
      <w:lang w:val="en-US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link w:val="AktiChar"/>
    <w:rsid w:val="0021556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E15C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E15C6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21556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1556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1556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E15C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E15C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E15C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E15C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E15C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21556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21556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E15C6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E15C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E15C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21556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E15C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1556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E15C6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E15C6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E15C6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E15C6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E15C6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E15C6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E15C6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E15C6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US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US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E15C6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E15C6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US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E15C6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E15C6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E15C6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4E15C6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4E15C6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E15C6"/>
    <w:rPr>
      <w:rFonts w:ascii="Trebuchet MS" w:eastAsia="MS Mincho" w:hAnsi="Trebuchet MS"/>
      <w:lang w:val="en-US" w:eastAsia="en-US" w:bidi="ar-SA"/>
    </w:rPr>
  </w:style>
  <w:style w:type="paragraph" w:customStyle="1" w:styleId="BoxText">
    <w:name w:val="Box Text"/>
    <w:basedOn w:val="Normal"/>
    <w:rsid w:val="004E15C6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E15C6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E15C6"/>
    <w:rPr>
      <w:rFonts w:ascii="Trebuchet MS" w:eastAsia="MS Mincho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E15C6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E15C6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E15C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E15C6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E15C6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E15C6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E15C6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E15C6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E15C6"/>
    <w:pPr>
      <w:pageBreakBefore/>
      <w:numPr>
        <w:numId w:val="1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E15C6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E15C6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E15C6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E15C6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E15C6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E15C6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E15C6"/>
    <w:pPr>
      <w:ind w:left="720"/>
    </w:pPr>
  </w:style>
  <w:style w:type="paragraph" w:customStyle="1" w:styleId="Section">
    <w:name w:val="Section"/>
    <w:rsid w:val="004E15C6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E15C6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E15C6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E15C6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E15C6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E15C6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E15C6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4E15C6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E15C6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E15C6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E15C6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4E15C6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E15C6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ktiChar">
    <w:name w:val="Akti Char"/>
    <w:basedOn w:val="DefaultParagraphFont"/>
    <w:link w:val="Akti"/>
    <w:rsid w:val="00BF3D7A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BF3D7A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2019-03-16T18:45:00Z</dcterms:created>
  <dcterms:modified xsi:type="dcterms:W3CDTF">2019-03-16T18:45:00Z</dcterms:modified>
</cp:coreProperties>
</file>