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A9F" w:rsidRPr="00BF53AE" w:rsidRDefault="00B71A9F" w:rsidP="00B71A9F">
      <w:pPr>
        <w:pStyle w:val="Akti"/>
        <w:keepNext w:val="0"/>
        <w:rPr>
          <w:lang w:val="it-IT"/>
        </w:rPr>
      </w:pPr>
      <w:bookmarkStart w:id="0" w:name="_GoBack"/>
      <w:bookmarkEnd w:id="0"/>
      <w:r w:rsidRPr="00BF53AE">
        <w:rPr>
          <w:lang w:val="it-IT"/>
        </w:rPr>
        <w:t>Vendim</w:t>
      </w:r>
    </w:p>
    <w:p w:rsidR="00B71A9F" w:rsidRPr="00BF53AE" w:rsidRDefault="00B71A9F" w:rsidP="00B71A9F">
      <w:pPr>
        <w:pStyle w:val="NumriData"/>
        <w:keepNext w:val="0"/>
        <w:rPr>
          <w:lang w:val="it-IT"/>
        </w:rPr>
      </w:pPr>
      <w:r w:rsidRPr="00BF53AE">
        <w:rPr>
          <w:lang w:val="it-IT"/>
        </w:rPr>
        <w:t>Nr.557, datë 7.5.2008</w:t>
      </w:r>
    </w:p>
    <w:p w:rsidR="00B71A9F" w:rsidRPr="00BF53AE" w:rsidRDefault="00B71A9F" w:rsidP="00B71A9F">
      <w:pPr>
        <w:pStyle w:val="Paragrafi"/>
        <w:rPr>
          <w:lang w:val="it-IT"/>
        </w:rPr>
      </w:pPr>
    </w:p>
    <w:p w:rsidR="00B71A9F" w:rsidRPr="00BF53AE" w:rsidRDefault="00B71A9F" w:rsidP="00B71A9F">
      <w:pPr>
        <w:pStyle w:val="Titulli"/>
        <w:keepNext w:val="0"/>
        <w:rPr>
          <w:lang w:val="it-IT"/>
        </w:rPr>
      </w:pPr>
      <w:r w:rsidRPr="00BF53AE">
        <w:rPr>
          <w:lang w:val="it-IT"/>
        </w:rPr>
        <w:t>Për miratimin e listës përfundimtare të pronave, pyje dhe kullota, që do të transferohen në pronësi të njësisë së qeverisjes vendore, komuna Bubq, të qarkut të Durrësit</w:t>
      </w:r>
    </w:p>
    <w:p w:rsidR="00B71A9F" w:rsidRPr="00BF53AE" w:rsidRDefault="00B71A9F" w:rsidP="00B71A9F">
      <w:pPr>
        <w:pStyle w:val="Paragrafi"/>
        <w:rPr>
          <w:lang w:val="it-IT"/>
        </w:rPr>
      </w:pPr>
    </w:p>
    <w:p w:rsidR="00B71A9F" w:rsidRPr="00BF53AE" w:rsidRDefault="00B71A9F" w:rsidP="00B71A9F">
      <w:pPr>
        <w:pStyle w:val="BazLigjPropozues"/>
        <w:keepNext w:val="0"/>
        <w:rPr>
          <w:lang w:val="it-IT"/>
        </w:rPr>
      </w:pPr>
      <w:r w:rsidRPr="00BF53AE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B71A9F" w:rsidRPr="00BF53AE" w:rsidRDefault="00B71A9F" w:rsidP="00B71A9F">
      <w:pPr>
        <w:pStyle w:val="Paragrafi"/>
        <w:rPr>
          <w:lang w:val="it-IT"/>
        </w:rPr>
      </w:pPr>
    </w:p>
    <w:p w:rsidR="00B71A9F" w:rsidRPr="00BF53AE" w:rsidRDefault="00B71A9F" w:rsidP="00B71A9F">
      <w:pPr>
        <w:pStyle w:val="VENDOSI"/>
        <w:keepNext w:val="0"/>
        <w:rPr>
          <w:lang w:val="it-IT"/>
        </w:rPr>
      </w:pPr>
      <w:r w:rsidRPr="00BF53AE">
        <w:rPr>
          <w:lang w:val="it-IT"/>
        </w:rPr>
        <w:t>Vendosi:</w:t>
      </w:r>
    </w:p>
    <w:p w:rsidR="00B71A9F" w:rsidRPr="00BF53AE" w:rsidRDefault="00B71A9F" w:rsidP="00B71A9F">
      <w:pPr>
        <w:pStyle w:val="Paragrafi"/>
        <w:rPr>
          <w:lang w:val="it-IT"/>
        </w:rPr>
      </w:pPr>
    </w:p>
    <w:p w:rsidR="00B71A9F" w:rsidRPr="00BF53AE" w:rsidRDefault="00B71A9F" w:rsidP="00B71A9F">
      <w:pPr>
        <w:pStyle w:val="Paragrafi"/>
        <w:rPr>
          <w:lang w:val="it-IT"/>
        </w:rPr>
      </w:pPr>
      <w:r w:rsidRPr="00BF53AE">
        <w:rPr>
          <w:lang w:val="it-IT"/>
        </w:rPr>
        <w:t>1. Miratimin e listës përfundimtare të pronave të paluajtshme publike, pyje dhe kullota, që janë në</w:t>
      </w:r>
      <w:r>
        <w:rPr>
          <w:lang w:val="it-IT"/>
        </w:rPr>
        <w:t xml:space="preserve"> juridiksionin</w:t>
      </w:r>
      <w:r w:rsidRPr="00BF53AE">
        <w:rPr>
          <w:lang w:val="it-IT"/>
        </w:rPr>
        <w:t xml:space="preserve"> territorial dhe administrativ të njësisë së qeverisjes vendore, komuna Bubq, të qarkut të Durrësit, që do t’i transferohen në pronësi kësaj njësie.</w:t>
      </w:r>
    </w:p>
    <w:p w:rsidR="00B71A9F" w:rsidRPr="00BF53AE" w:rsidRDefault="00B71A9F" w:rsidP="00B71A9F">
      <w:pPr>
        <w:pStyle w:val="Paragrafi"/>
        <w:rPr>
          <w:lang w:val="it-IT"/>
        </w:rPr>
      </w:pPr>
      <w:r w:rsidRPr="00BF53AE">
        <w:rPr>
          <w:lang w:val="it-IT"/>
        </w:rPr>
        <w:t>2. Lista përfundimtare e pronave të paluajtshme, pyje dhe kullota, me 5 (pesë) fletë, që përfundon me numrin rendor 162 (njëqind e gjashtëdhjetë e dy), dhe lidhja 1 i bashkëlidhen këtij vendimi dhe janë pjesë përbërëse e tij.</w:t>
      </w:r>
    </w:p>
    <w:p w:rsidR="00B71A9F" w:rsidRPr="00BF53AE" w:rsidRDefault="00B71A9F" w:rsidP="00B71A9F">
      <w:pPr>
        <w:pStyle w:val="Paragrafi"/>
        <w:rPr>
          <w:lang w:val="it-IT"/>
        </w:rPr>
      </w:pPr>
      <w:r w:rsidRPr="00BF53AE">
        <w:rPr>
          <w:lang w:val="it-IT"/>
        </w:rPr>
        <w:t>3. Ngarkohen Ministria e Brendshme, Ministria e Mjedisit, Pyjeve dhe Administrimit të Ujërave, kryeregjistruesi i Pasurive të Paluajtshme të Republikës së Shqipërisë dhe komuna Bubq për zbatimin e këtij vendimi.</w:t>
      </w:r>
    </w:p>
    <w:p w:rsidR="00B71A9F" w:rsidRPr="00BF53AE" w:rsidRDefault="00B71A9F" w:rsidP="00B71A9F">
      <w:pPr>
        <w:pStyle w:val="Paragrafi"/>
        <w:rPr>
          <w:lang w:val="it-IT"/>
        </w:rPr>
      </w:pPr>
      <w:r w:rsidRPr="00BF53AE">
        <w:rPr>
          <w:lang w:val="it-IT"/>
        </w:rPr>
        <w:t>Ky vendim hyn në fuqi pas botimit në Fletoren Zyrtare.</w:t>
      </w:r>
    </w:p>
    <w:p w:rsidR="00B71A9F" w:rsidRPr="00BF53AE" w:rsidRDefault="00B71A9F" w:rsidP="00B71A9F">
      <w:pPr>
        <w:pStyle w:val="Paragrafi"/>
        <w:rPr>
          <w:lang w:val="it-IT"/>
        </w:rPr>
      </w:pPr>
    </w:p>
    <w:p w:rsidR="00B71A9F" w:rsidRDefault="00B71A9F" w:rsidP="00B71A9F">
      <w:pPr>
        <w:pStyle w:val="Autoriteti"/>
        <w:keepNext w:val="0"/>
      </w:pPr>
      <w:r>
        <w:t>Kryeministri</w:t>
      </w:r>
    </w:p>
    <w:p w:rsidR="00B71A9F" w:rsidRDefault="00B71A9F" w:rsidP="00B71A9F">
      <w:pPr>
        <w:pStyle w:val="AutoritetiEmer"/>
      </w:pPr>
      <w:r>
        <w:t>Sali Berisha</w:t>
      </w:r>
    </w:p>
    <w:p w:rsidR="00B71A9F" w:rsidRDefault="00B71A9F" w:rsidP="00B71A9F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</w:pPr>
    </w:p>
    <w:p w:rsidR="00B71A9F" w:rsidRDefault="00B71A9F" w:rsidP="00D83B24">
      <w:pPr>
        <w:pStyle w:val="Paragrafi"/>
        <w:sectPr w:rsidR="00B71A9F" w:rsidSect="00B71A9F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3351"/>
          <w:cols w:space="720"/>
          <w:docGrid w:linePitch="360"/>
        </w:sectPr>
      </w:pPr>
    </w:p>
    <w:tbl>
      <w:tblPr>
        <w:tblW w:w="14746" w:type="dxa"/>
        <w:jc w:val="center"/>
        <w:tblLook w:val="0000" w:firstRow="0" w:lastRow="0" w:firstColumn="0" w:lastColumn="0" w:noHBand="0" w:noVBand="0"/>
      </w:tblPr>
      <w:tblGrid>
        <w:gridCol w:w="560"/>
        <w:gridCol w:w="670"/>
        <w:gridCol w:w="2189"/>
        <w:gridCol w:w="1620"/>
        <w:gridCol w:w="813"/>
        <w:gridCol w:w="1373"/>
        <w:gridCol w:w="900"/>
        <w:gridCol w:w="1701"/>
        <w:gridCol w:w="1715"/>
        <w:gridCol w:w="1620"/>
        <w:gridCol w:w="1585"/>
      </w:tblGrid>
      <w:tr w:rsidR="00B71A9F" w:rsidRPr="00CE37EC">
        <w:trPr>
          <w:trHeight w:val="300"/>
          <w:jc w:val="center"/>
        </w:trPr>
        <w:tc>
          <w:tcPr>
            <w:tcW w:w="1474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E37EC">
              <w:rPr>
                <w:b/>
                <w:sz w:val="16"/>
                <w:szCs w:val="16"/>
              </w:rPr>
              <w:lastRenderedPageBreak/>
              <w:t>FORMULAR PËR TRANSFERIMIN E PRONAVE  TË PALUAJTSHME SHTETËRORE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b/>
                <w:sz w:val="16"/>
                <w:szCs w:val="16"/>
              </w:rPr>
              <w:t>( Sipas inventarizimit të pronave të veçanta  të  tipit,:pyje, kullota, livadhe, shkëmbore etj.)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     Institucioni  i pushtetit  qendror:  MMPAU</w:t>
            </w:r>
          </w:p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Komuna: Bubq</w:t>
            </w:r>
          </w:p>
        </w:tc>
      </w:tr>
      <w:tr w:rsidR="00B71A9F" w:rsidRPr="00CE37EC">
        <w:trPr>
          <w:trHeight w:val="9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Nr.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rend.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Nr.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 pronës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sipas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invent.</w:t>
            </w:r>
          </w:p>
        </w:tc>
        <w:tc>
          <w:tcPr>
            <w:tcW w:w="21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Emërtesa  e ekonomisë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pyjore  dhe kullosore (PPK),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shtrirja gjeografike PPK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Emërtesa e ngastrës,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vendndodhja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( sipas emërtesës popullore)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Numri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ngastrës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Destinacioni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Sip.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në ha.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Funksioni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për të cilin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përdoret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prona</w:t>
            </w:r>
          </w:p>
        </w:tc>
        <w:tc>
          <w:tcPr>
            <w:tcW w:w="171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Institucioni,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enti  me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përgjegjësi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administrative</w:t>
            </w:r>
          </w:p>
        </w:tc>
        <w:tc>
          <w:tcPr>
            <w:tcW w:w="1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Institucioni,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enti përdorues,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statusi juridik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 përdorimit</w:t>
            </w:r>
          </w:p>
        </w:tc>
        <w:tc>
          <w:tcPr>
            <w:tcW w:w="15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Të dhëna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të tjera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(shënime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të veçanta)</w:t>
            </w:r>
          </w:p>
          <w:p w:rsidR="00B71A9F" w:rsidRPr="00CE37EC" w:rsidRDefault="00B71A9F" w:rsidP="00CE37E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</w:p>
        </w:tc>
      </w:tr>
      <w:tr w:rsidR="00B71A9F" w:rsidRPr="00CE37EC">
        <w:trPr>
          <w:trHeight w:val="28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4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7</w:t>
            </w:r>
          </w:p>
        </w:tc>
        <w:tc>
          <w:tcPr>
            <w:tcW w:w="17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10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Mazhe-Budull(Ek.Kullosor)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Zabeli  Gerdec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23.00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VKM 700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Mazhe-Budull (Ek.Kullosor)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Bubqit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VKM 700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Mazhe-Budull (Ek.Kullosor)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Kodrat Mollkuç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VKM 700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Mazhe-Budull (Ek.Kullosor)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Kodrat Mollkuç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Komuna BUBQ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VKM 700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829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(Ek.P)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Teqja e Bubqit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Aktmarrveshjen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Shegjishtet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Nr.31,dt.14.01.2000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Kodrat e Mazhes (Ek.P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Krekëza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 kalon në perdorim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Krekzë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komnës BUBQ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Krekzë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fshati BUDULL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Llabaxhe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Zabeli Çangut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 e Dushkut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Lami i Metës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Bregu i Kuqlës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839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Kerbize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7.00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830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(Ek.P)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Kerbize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Kodër Gugës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Pyll prodhues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Mbrojtjen e fshatit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24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25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849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   10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Kavasel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Hixa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Hixa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35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859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18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L.punimi+Dru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Xhoga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Dushku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Dushku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Dushku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Rasa e Zezë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4.56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869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  28.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4.04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Teqja e Bubqit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28/1.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50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32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4.40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4.84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L:punimi+Dru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879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Varri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18.36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Faqia e Shullërit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58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882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Faqia e Shullërit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39/1.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Shkrep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9.92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Shkrep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885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Shkrep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42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Shkrep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Shkrep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   44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Jistikami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889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Burimi i Lokëve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Liqeni i Bubqit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Liqeni i Bubqit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Mark Doda etj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 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Shënavlash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Grzka e Kalit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10.72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Duhanore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3.30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 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Duhanore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Duhanore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Duhanore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Mb.tokës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899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Madhe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Zelëve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Liqeni Bubqit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905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Stani i Mines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62          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82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906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Stani i Mines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0.70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Stani i Mines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Stani i Mines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909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i Përroit Bubq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12.00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Shpati Kaplloqes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Vreshtare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Privit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Arzave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Shperdhet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Kakariq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92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916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Kakariq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Kroi Metës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Shën Vlash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95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919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Shpati Kaplloqes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Garupe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Shpat Ruce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Kallame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Kallame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Kallame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Dybeke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Gurre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e Gurrës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Gurre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929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Rahi i Likës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Gurre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Shellinxa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Shellinxa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Shellinxa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Bume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Gajaku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Gajaku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Shpti Gryke Gurrës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144.00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Kroi hut Dacit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8.00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939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Gryke Vrazani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Kishës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Gryka e Kishës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Ullinjtë e Lushit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Darake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Darake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shperdhet i Vogël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Kakariq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Kakariq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Bregu i Stanit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949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Bregu i Stanit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126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Lajthishte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44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9.00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Vakufi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Mb.toke bujqësore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San Simone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129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Kaskoke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Bokrinat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Nargara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Faqia e Xhamisë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Aktmarrveshjen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Faqia e Xhamisë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Nr. 31,dt.14.01.2000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 e Mashave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 kalon në perdorim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959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 e Mashave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komnës BUBQ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Lajthishte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12.64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Fshati Mazhe Vogël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kulezem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14.40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Çakalle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7.12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Mbrojtës rezervuari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kulezem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Zigona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Kodër Bardha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10/19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Kodër Bardha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11/20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Përroi i Burgës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26.96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 Aktmarrveshjen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Kodra e Leçeve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5.44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Mbrojtës toke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Nr. 31,dt.14.01.2000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969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Krye Kuq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Mbrojtës toke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i kalon në perdorim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Faqia e Himës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12.56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komnës BUBQ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Zagdume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17.36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fshati Mollkuç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Kroi Baft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10.72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149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Faqe e Proit të Kaçit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38.56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Mbrojtës rezervuari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Perroi Berberes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6.42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Mbrojtës rezervuari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Faqia e destanit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4.70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Mbrojtës rezervuari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Dardh Paloka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19.84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Mbrojtës rezervuari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Faqe e Reçit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16.36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978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Meqeme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7.84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979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Faqa e Luleve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8.90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Faqa e Geges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3.56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Ferra e Qeve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2.24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Fera e derrit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9.80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159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983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Mazhes( Ek.P 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Shara Xhijes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2.72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160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Sharra Xhijes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18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prodhues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81.44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 Bardha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10/19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Pyll mbrojtës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Dru zjarri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  <w:tr w:rsidR="00B71A9F" w:rsidRPr="00CE37EC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162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iCs/>
                <w:sz w:val="16"/>
                <w:szCs w:val="16"/>
              </w:rPr>
            </w:pPr>
            <w:r w:rsidRPr="00CE37EC">
              <w:rPr>
                <w:iCs/>
                <w:sz w:val="16"/>
                <w:szCs w:val="16"/>
              </w:rPr>
              <w:t>986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  <w:lang w:val="de-DE"/>
              </w:rPr>
            </w:pPr>
            <w:r w:rsidRPr="00CE37EC">
              <w:rPr>
                <w:sz w:val="16"/>
                <w:szCs w:val="16"/>
                <w:lang w:val="de-DE"/>
              </w:rPr>
              <w:t>Kodrat e Mazhes ( Ek.P 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Kodr Bardha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11/20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Kullotë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MMPAU (DPPK)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 xml:space="preserve">      DSHP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1A9F" w:rsidRPr="00CE37EC" w:rsidRDefault="00B71A9F" w:rsidP="00CE37EC">
            <w:pPr>
              <w:pStyle w:val="Tabele"/>
              <w:rPr>
                <w:sz w:val="16"/>
                <w:szCs w:val="16"/>
              </w:rPr>
            </w:pPr>
            <w:r w:rsidRPr="00CE37EC">
              <w:rPr>
                <w:sz w:val="16"/>
                <w:szCs w:val="16"/>
              </w:rPr>
              <w:t> </w:t>
            </w:r>
          </w:p>
        </w:tc>
      </w:tr>
    </w:tbl>
    <w:p w:rsidR="00B71A9F" w:rsidRDefault="00B71A9F" w:rsidP="00D83B24">
      <w:pPr>
        <w:pStyle w:val="Paragrafi"/>
        <w:sectPr w:rsidR="00B71A9F" w:rsidSect="00B71A9F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B71A9F" w:rsidRPr="00D83B24" w:rsidRDefault="00B71A9F" w:rsidP="00D83B24">
      <w:pPr>
        <w:pStyle w:val="Paragrafi"/>
      </w:pPr>
      <w:r w:rsidRPr="00D83B24">
        <w:t xml:space="preserve">Njesia e qeverisjes vendore: komuna Bubq </w:t>
      </w:r>
      <w:r w:rsidRPr="00D83B24">
        <w:tab/>
      </w:r>
      <w:r w:rsidRPr="00D83B24">
        <w:tab/>
      </w:r>
      <w:r w:rsidRPr="00D83B24">
        <w:tab/>
      </w:r>
      <w:r w:rsidRPr="00D83B24">
        <w:tab/>
        <w:t xml:space="preserve">      Lidhj</w:t>
      </w:r>
      <w:r w:rsidRPr="00D83B24">
        <w:rPr>
          <w:rFonts w:eastAsia="MS Mincho"/>
        </w:rPr>
        <w:t xml:space="preserve">a </w:t>
      </w:r>
      <w:r w:rsidRPr="00D83B24">
        <w:t>nr.1</w:t>
      </w:r>
      <w:r w:rsidRPr="00D83B24">
        <w:tab/>
      </w:r>
      <w:r w:rsidRPr="00D83B24">
        <w:tab/>
      </w:r>
      <w:r w:rsidRPr="00D83B24">
        <w:tab/>
      </w:r>
      <w:r w:rsidRPr="00D83B24">
        <w:tab/>
      </w:r>
      <w:r w:rsidRPr="00D83B24">
        <w:tab/>
      </w:r>
      <w:r w:rsidRPr="00D83B24">
        <w:tab/>
        <w:t xml:space="preserve">          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2557"/>
      </w:tblGrid>
      <w:tr w:rsidR="00B71A9F" w:rsidRPr="00CE37EC">
        <w:tc>
          <w:tcPr>
            <w:tcW w:w="3095" w:type="dxa"/>
          </w:tcPr>
          <w:p w:rsidR="00B71A9F" w:rsidRPr="00CE37EC" w:rsidRDefault="00B71A9F" w:rsidP="00CE37EC">
            <w:pPr>
              <w:pStyle w:val="Tabele"/>
              <w:jc w:val="center"/>
              <w:rPr>
                <w:sz w:val="18"/>
                <w:szCs w:val="18"/>
              </w:rPr>
            </w:pPr>
            <w:r w:rsidRPr="00CE37EC">
              <w:rPr>
                <w:sz w:val="18"/>
                <w:szCs w:val="18"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B71A9F" w:rsidRPr="00CE37EC" w:rsidRDefault="00B71A9F" w:rsidP="00CE37EC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CE37EC">
              <w:rPr>
                <w:sz w:val="18"/>
                <w:szCs w:val="18"/>
                <w:lang w:val="de-DE"/>
              </w:rPr>
              <w:t>Fusha e përdorimit të pronës</w:t>
            </w:r>
          </w:p>
        </w:tc>
        <w:tc>
          <w:tcPr>
            <w:tcW w:w="2557" w:type="dxa"/>
          </w:tcPr>
          <w:p w:rsidR="00B71A9F" w:rsidRPr="00CE37EC" w:rsidRDefault="00B71A9F" w:rsidP="00CE37EC">
            <w:pPr>
              <w:pStyle w:val="Tabele"/>
              <w:jc w:val="center"/>
              <w:rPr>
                <w:sz w:val="18"/>
                <w:szCs w:val="18"/>
              </w:rPr>
            </w:pPr>
            <w:r w:rsidRPr="00CE37EC">
              <w:rPr>
                <w:sz w:val="18"/>
                <w:szCs w:val="18"/>
              </w:rPr>
              <w:t>Lloji i transferimit</w:t>
            </w:r>
          </w:p>
        </w:tc>
      </w:tr>
      <w:tr w:rsidR="00B71A9F">
        <w:tc>
          <w:tcPr>
            <w:tcW w:w="3095" w:type="dxa"/>
          </w:tcPr>
          <w:p w:rsidR="00B71A9F" w:rsidRDefault="00B71A9F" w:rsidP="00CE37EC">
            <w:pPr>
              <w:pStyle w:val="Tabele"/>
            </w:pPr>
            <w:r>
              <w:t>1-4</w:t>
            </w:r>
          </w:p>
        </w:tc>
        <w:tc>
          <w:tcPr>
            <w:tcW w:w="3096" w:type="dxa"/>
          </w:tcPr>
          <w:p w:rsidR="00B71A9F" w:rsidRDefault="00B71A9F" w:rsidP="00CE37EC">
            <w:pPr>
              <w:pStyle w:val="Tabele"/>
            </w:pPr>
            <w:r>
              <w:t>Kullotë</w:t>
            </w:r>
          </w:p>
        </w:tc>
        <w:tc>
          <w:tcPr>
            <w:tcW w:w="2557" w:type="dxa"/>
          </w:tcPr>
          <w:p w:rsidR="00B71A9F" w:rsidRDefault="00B71A9F" w:rsidP="00CE37EC">
            <w:pPr>
              <w:pStyle w:val="Tabele"/>
            </w:pPr>
            <w:r>
              <w:t>Në pronësi</w:t>
            </w:r>
          </w:p>
        </w:tc>
      </w:tr>
      <w:tr w:rsidR="00B71A9F">
        <w:tc>
          <w:tcPr>
            <w:tcW w:w="3095" w:type="dxa"/>
          </w:tcPr>
          <w:p w:rsidR="00B71A9F" w:rsidRDefault="00B71A9F" w:rsidP="00CE37EC">
            <w:pPr>
              <w:pStyle w:val="Tabele"/>
            </w:pPr>
            <w:r>
              <w:t>829-986</w:t>
            </w:r>
          </w:p>
        </w:tc>
        <w:tc>
          <w:tcPr>
            <w:tcW w:w="3096" w:type="dxa"/>
          </w:tcPr>
          <w:p w:rsidR="00B71A9F" w:rsidRPr="00F07A06" w:rsidRDefault="00B71A9F" w:rsidP="00CE37EC">
            <w:pPr>
              <w:pStyle w:val="Tabele"/>
              <w:rPr>
                <w:lang w:val="de-DE"/>
              </w:rPr>
            </w:pPr>
            <w:r w:rsidRPr="00F07A06">
              <w:rPr>
                <w:lang w:val="de-DE"/>
              </w:rPr>
              <w:t>Pyll dhe kullotë brenda pyllit</w:t>
            </w:r>
          </w:p>
        </w:tc>
        <w:tc>
          <w:tcPr>
            <w:tcW w:w="2557" w:type="dxa"/>
          </w:tcPr>
          <w:p w:rsidR="00B71A9F" w:rsidRDefault="00B71A9F" w:rsidP="00CE37EC">
            <w:pPr>
              <w:pStyle w:val="Tabele"/>
            </w:pPr>
            <w:r>
              <w:t>Në pronësi</w:t>
            </w:r>
          </w:p>
        </w:tc>
      </w:tr>
      <w:tr w:rsidR="00B71A9F">
        <w:tc>
          <w:tcPr>
            <w:tcW w:w="3095" w:type="dxa"/>
          </w:tcPr>
          <w:p w:rsidR="00B71A9F" w:rsidRDefault="00B71A9F" w:rsidP="00CE37EC">
            <w:pPr>
              <w:pStyle w:val="Tabele"/>
            </w:pPr>
          </w:p>
        </w:tc>
        <w:tc>
          <w:tcPr>
            <w:tcW w:w="3096" w:type="dxa"/>
          </w:tcPr>
          <w:p w:rsidR="00B71A9F" w:rsidRDefault="00B71A9F" w:rsidP="00CE37EC">
            <w:pPr>
              <w:pStyle w:val="Tabele"/>
            </w:pPr>
          </w:p>
        </w:tc>
        <w:tc>
          <w:tcPr>
            <w:tcW w:w="2557" w:type="dxa"/>
          </w:tcPr>
          <w:p w:rsidR="00B71A9F" w:rsidRDefault="00B71A9F" w:rsidP="00CE37EC">
            <w:pPr>
              <w:pStyle w:val="Tabele"/>
            </w:pPr>
          </w:p>
        </w:tc>
      </w:tr>
      <w:tr w:rsidR="00B71A9F">
        <w:tc>
          <w:tcPr>
            <w:tcW w:w="3095" w:type="dxa"/>
          </w:tcPr>
          <w:p w:rsidR="00B71A9F" w:rsidRDefault="00B71A9F" w:rsidP="00CE37EC">
            <w:pPr>
              <w:pStyle w:val="Tabele"/>
            </w:pPr>
          </w:p>
        </w:tc>
        <w:tc>
          <w:tcPr>
            <w:tcW w:w="3096" w:type="dxa"/>
          </w:tcPr>
          <w:p w:rsidR="00B71A9F" w:rsidRDefault="00B71A9F" w:rsidP="00CE37EC">
            <w:pPr>
              <w:pStyle w:val="Tabele"/>
            </w:pPr>
          </w:p>
        </w:tc>
        <w:tc>
          <w:tcPr>
            <w:tcW w:w="2557" w:type="dxa"/>
          </w:tcPr>
          <w:p w:rsidR="00B71A9F" w:rsidRDefault="00B71A9F" w:rsidP="00CE37EC">
            <w:pPr>
              <w:pStyle w:val="Tabele"/>
            </w:pPr>
          </w:p>
        </w:tc>
      </w:tr>
    </w:tbl>
    <w:p w:rsidR="00B71A9F" w:rsidRDefault="00B71A9F" w:rsidP="00B71A9F">
      <w:pPr>
        <w:widowControl w:val="0"/>
        <w:rPr>
          <w:rFonts w:ascii="CG Times" w:hAnsi="CG Times"/>
          <w:sz w:val="22"/>
          <w:szCs w:val="20"/>
        </w:rPr>
      </w:pPr>
    </w:p>
    <w:sectPr w:rsidR="00B71A9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27C9">
      <w:r>
        <w:separator/>
      </w:r>
    </w:p>
  </w:endnote>
  <w:endnote w:type="continuationSeparator" w:id="0">
    <w:p w:rsidR="00000000" w:rsidRDefault="0066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7EC" w:rsidRDefault="00CE37EC" w:rsidP="00B71A9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7EC" w:rsidRDefault="00CE37EC" w:rsidP="00B71A9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7EC" w:rsidRPr="00FD0B0C" w:rsidRDefault="00CE37EC" w:rsidP="00B71A9F">
    <w:pPr>
      <w:pStyle w:val="Footer"/>
      <w:framePr w:wrap="around" w:vAnchor="text" w:hAnchor="margin" w:xAlign="outside" w:y="1"/>
      <w:rPr>
        <w:rStyle w:val="PageNumber"/>
        <w:rFonts w:ascii="CG Times" w:hAnsi="CG Times"/>
        <w:szCs w:val="22"/>
      </w:rPr>
    </w:pPr>
    <w:r w:rsidRPr="00FD0B0C">
      <w:rPr>
        <w:rStyle w:val="PageNumber"/>
        <w:rFonts w:ascii="CG Times" w:hAnsi="CG Times"/>
        <w:szCs w:val="22"/>
      </w:rPr>
      <w:fldChar w:fldCharType="begin"/>
    </w:r>
    <w:r w:rsidRPr="00FD0B0C">
      <w:rPr>
        <w:rStyle w:val="PageNumber"/>
        <w:rFonts w:ascii="CG Times" w:hAnsi="CG Times"/>
        <w:szCs w:val="22"/>
      </w:rPr>
      <w:instrText xml:space="preserve">PAGE  </w:instrText>
    </w:r>
    <w:r w:rsidRPr="00FD0B0C">
      <w:rPr>
        <w:rStyle w:val="PageNumber"/>
        <w:rFonts w:ascii="CG Times" w:hAnsi="CG Times"/>
        <w:szCs w:val="22"/>
      </w:rPr>
      <w:fldChar w:fldCharType="separate"/>
    </w:r>
    <w:r w:rsidR="006627C9">
      <w:rPr>
        <w:rStyle w:val="PageNumber"/>
        <w:rFonts w:ascii="CG Times" w:hAnsi="CG Times"/>
        <w:noProof/>
        <w:szCs w:val="22"/>
      </w:rPr>
      <w:t>3352</w:t>
    </w:r>
    <w:r w:rsidRPr="00FD0B0C">
      <w:rPr>
        <w:rStyle w:val="PageNumber"/>
        <w:rFonts w:ascii="CG Times" w:hAnsi="CG Times"/>
        <w:szCs w:val="22"/>
      </w:rPr>
      <w:fldChar w:fldCharType="end"/>
    </w:r>
  </w:p>
  <w:p w:rsidR="00CE37EC" w:rsidRDefault="00CE37EC" w:rsidP="00B71A9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27C9">
      <w:r>
        <w:separator/>
      </w:r>
    </w:p>
  </w:footnote>
  <w:footnote w:type="continuationSeparator" w:id="0">
    <w:p w:rsidR="00000000" w:rsidRDefault="00662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430B19"/>
    <w:multiLevelType w:val="multilevel"/>
    <w:tmpl w:val="25B015C0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BC248C8"/>
    <w:multiLevelType w:val="hybridMultilevel"/>
    <w:tmpl w:val="72EAE45A"/>
    <w:lvl w:ilvl="0" w:tplc="BACCC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90C26D7"/>
    <w:multiLevelType w:val="hybridMultilevel"/>
    <w:tmpl w:val="27D2E7C8"/>
    <w:lvl w:ilvl="0" w:tplc="95EE6D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455BE"/>
    <w:multiLevelType w:val="multilevel"/>
    <w:tmpl w:val="ECE8132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29C5377D"/>
    <w:multiLevelType w:val="multilevel"/>
    <w:tmpl w:val="3676C35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A721546"/>
    <w:multiLevelType w:val="multilevel"/>
    <w:tmpl w:val="6D663B32"/>
    <w:lvl w:ilvl="0">
      <w:start w:val="1"/>
      <w:numFmt w:val="decimal"/>
      <w:lvlText w:val="1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3011273B"/>
    <w:multiLevelType w:val="multilevel"/>
    <w:tmpl w:val="BC78E41A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334B031F"/>
    <w:multiLevelType w:val="multilevel"/>
    <w:tmpl w:val="0100958C"/>
    <w:lvl w:ilvl="0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38862D80"/>
    <w:multiLevelType w:val="hybridMultilevel"/>
    <w:tmpl w:val="693208EC"/>
    <w:lvl w:ilvl="0" w:tplc="02562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EF474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F0A3494"/>
    <w:multiLevelType w:val="hybridMultilevel"/>
    <w:tmpl w:val="6726B3DA"/>
    <w:lvl w:ilvl="0" w:tplc="408E0B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825F87"/>
    <w:multiLevelType w:val="multilevel"/>
    <w:tmpl w:val="07FCBF9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>
    <w:nsid w:val="44E010C8"/>
    <w:multiLevelType w:val="hybridMultilevel"/>
    <w:tmpl w:val="3B5E03F0"/>
    <w:lvl w:ilvl="0" w:tplc="7520D766">
      <w:start w:val="1"/>
      <w:numFmt w:val="decimal"/>
      <w:lvlText w:val="%1."/>
      <w:lvlJc w:val="left"/>
      <w:pPr>
        <w:ind w:left="99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DC7040"/>
    <w:multiLevelType w:val="hybridMultilevel"/>
    <w:tmpl w:val="20189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A8234D"/>
    <w:multiLevelType w:val="hybridMultilevel"/>
    <w:tmpl w:val="361A0CE4"/>
    <w:lvl w:ilvl="0" w:tplc="1B6EA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B8193F"/>
    <w:multiLevelType w:val="multilevel"/>
    <w:tmpl w:val="0809001F"/>
    <w:numStyleLink w:val="111111"/>
  </w:abstractNum>
  <w:abstractNum w:abstractNumId="19">
    <w:nsid w:val="4FFC3DCA"/>
    <w:multiLevelType w:val="hybridMultilevel"/>
    <w:tmpl w:val="CB0E90DE"/>
    <w:lvl w:ilvl="0" w:tplc="0FC08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936A41"/>
    <w:multiLevelType w:val="multilevel"/>
    <w:tmpl w:val="260048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57EC489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1165CB7"/>
    <w:multiLevelType w:val="multilevel"/>
    <w:tmpl w:val="510EE67C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62CC7E8D"/>
    <w:multiLevelType w:val="multilevel"/>
    <w:tmpl w:val="E63E7E4C"/>
    <w:lvl w:ilvl="0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>
    <w:nsid w:val="63F041C7"/>
    <w:multiLevelType w:val="multilevel"/>
    <w:tmpl w:val="F4FE7138"/>
    <w:lvl w:ilvl="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>
    <w:nsid w:val="65610721"/>
    <w:multiLevelType w:val="hybridMultilevel"/>
    <w:tmpl w:val="685E57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1D1CCF"/>
    <w:multiLevelType w:val="multilevel"/>
    <w:tmpl w:val="34203EB4"/>
    <w:lvl w:ilvl="0">
      <w:start w:val="4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>
    <w:nsid w:val="6CD91477"/>
    <w:multiLevelType w:val="hybridMultilevel"/>
    <w:tmpl w:val="907C50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FE14FD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1DD7599"/>
    <w:multiLevelType w:val="multilevel"/>
    <w:tmpl w:val="0918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3C31BA"/>
    <w:multiLevelType w:val="hybridMultilevel"/>
    <w:tmpl w:val="D0EA512E"/>
    <w:lvl w:ilvl="0" w:tplc="4E9404E4">
      <w:start w:val="1"/>
      <w:numFmt w:val="bullet"/>
      <w:lvlText w:val="-"/>
      <w:lvlJc w:val="left"/>
      <w:pPr>
        <w:tabs>
          <w:tab w:val="num" w:pos="337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C32B3B"/>
    <w:multiLevelType w:val="multilevel"/>
    <w:tmpl w:val="CB32BF8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>
    <w:nsid w:val="79156B1D"/>
    <w:multiLevelType w:val="multilevel"/>
    <w:tmpl w:val="B9E2BF78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F8C6324"/>
    <w:multiLevelType w:val="hybridMultilevel"/>
    <w:tmpl w:val="107A9CB4"/>
    <w:lvl w:ilvl="0" w:tplc="524A446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AD57C2"/>
    <w:multiLevelType w:val="hybridMultilevel"/>
    <w:tmpl w:val="E10AF7B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0"/>
  </w:num>
  <w:num w:numId="3">
    <w:abstractNumId w:val="15"/>
  </w:num>
  <w:num w:numId="4">
    <w:abstractNumId w:val="11"/>
  </w:num>
  <w:num w:numId="5">
    <w:abstractNumId w:val="1"/>
  </w:num>
  <w:num w:numId="6">
    <w:abstractNumId w:val="23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0"/>
  </w:num>
  <w:num w:numId="12">
    <w:abstractNumId w:val="2"/>
  </w:num>
  <w:num w:numId="13">
    <w:abstractNumId w:val="33"/>
  </w:num>
  <w:num w:numId="14">
    <w:abstractNumId w:val="25"/>
  </w:num>
  <w:num w:numId="15">
    <w:abstractNumId w:val="24"/>
  </w:num>
  <w:num w:numId="16">
    <w:abstractNumId w:val="32"/>
  </w:num>
  <w:num w:numId="17">
    <w:abstractNumId w:val="5"/>
  </w:num>
  <w:num w:numId="18">
    <w:abstractNumId w:val="4"/>
  </w:num>
  <w:num w:numId="19">
    <w:abstractNumId w:val="27"/>
  </w:num>
  <w:num w:numId="20">
    <w:abstractNumId w:val="34"/>
  </w:num>
  <w:num w:numId="21">
    <w:abstractNumId w:val="8"/>
  </w:num>
  <w:num w:numId="22">
    <w:abstractNumId w:val="6"/>
  </w:num>
  <w:num w:numId="23">
    <w:abstractNumId w:val="9"/>
  </w:num>
  <w:num w:numId="24">
    <w:abstractNumId w:val="19"/>
  </w:num>
  <w:num w:numId="25">
    <w:abstractNumId w:val="30"/>
  </w:num>
  <w:num w:numId="26">
    <w:abstractNumId w:val="12"/>
  </w:num>
  <w:num w:numId="27">
    <w:abstractNumId w:val="16"/>
  </w:num>
  <w:num w:numId="28">
    <w:abstractNumId w:val="28"/>
  </w:num>
  <w:num w:numId="29">
    <w:abstractNumId w:val="35"/>
  </w:num>
  <w:num w:numId="30">
    <w:abstractNumId w:val="17"/>
  </w:num>
  <w:num w:numId="31">
    <w:abstractNumId w:val="10"/>
  </w:num>
  <w:num w:numId="32">
    <w:abstractNumId w:val="1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3">
    <w:abstractNumId w:val="13"/>
  </w:num>
  <w:num w:numId="34">
    <w:abstractNumId w:val="29"/>
  </w:num>
  <w:num w:numId="35">
    <w:abstractNumId w:val="22"/>
  </w:num>
  <w:num w:numId="36">
    <w:abstractNumId w:val="31"/>
  </w:num>
  <w:num w:numId="37">
    <w:abstractNumId w:val="1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1A9F"/>
    <w:rsid w:val="00155FB1"/>
    <w:rsid w:val="006627C9"/>
    <w:rsid w:val="00B71A9F"/>
    <w:rsid w:val="00CE37EC"/>
    <w:rsid w:val="00D60C8B"/>
    <w:rsid w:val="00D8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F40779-2A06-4BF7-AEB3-C9629304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A9F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B71A9F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B71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71A9F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B71A9F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B7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71A9F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B71A9F"/>
    <w:rPr>
      <w:rFonts w:ascii="Tahoma" w:eastAsia="MS Mincho" w:hAnsi="Tahoma"/>
      <w:vertAlign w:val="superscript"/>
      <w:lang w:val="en-GB" w:eastAsia="en-US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B71A9F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B71A9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71A9F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B71A9F"/>
    <w:rPr>
      <w:rFonts w:ascii="Tahoma" w:eastAsia="Batang" w:hAnsi="Tahoma"/>
      <w:sz w:val="24"/>
      <w:lang w:val="en-US" w:eastAsia="en-US" w:bidi="ar-SA"/>
    </w:rPr>
  </w:style>
  <w:style w:type="paragraph" w:styleId="Footer">
    <w:name w:val="footer"/>
    <w:basedOn w:val="Normal"/>
    <w:link w:val="FooterChar"/>
    <w:rsid w:val="00B71A9F"/>
    <w:pPr>
      <w:tabs>
        <w:tab w:val="center" w:pos="4320"/>
        <w:tab w:val="right" w:pos="8640"/>
      </w:tabs>
    </w:pPr>
    <w:rPr>
      <w:rFonts w:eastAsia="Batang"/>
      <w:szCs w:val="20"/>
      <w:lang w:val="en-US"/>
    </w:rPr>
  </w:style>
  <w:style w:type="paragraph" w:styleId="Title">
    <w:name w:val="Title"/>
    <w:basedOn w:val="Normal"/>
    <w:qFormat/>
    <w:rsid w:val="00B71A9F"/>
    <w:pPr>
      <w:jc w:val="center"/>
    </w:pPr>
    <w:rPr>
      <w:rFonts w:ascii="Bookman Old Style" w:eastAsia="MS Mincho" w:hAnsi="Bookman Old Style"/>
      <w:b/>
      <w:szCs w:val="20"/>
    </w:rPr>
  </w:style>
  <w:style w:type="paragraph" w:styleId="BodyText3">
    <w:name w:val="Body Text 3"/>
    <w:basedOn w:val="Normal"/>
    <w:rsid w:val="00B71A9F"/>
    <w:pPr>
      <w:jc w:val="both"/>
    </w:pPr>
    <w:rPr>
      <w:rFonts w:ascii="Bookman Old Style" w:eastAsia="MS Mincho" w:hAnsi="Bookman Old Style"/>
      <w:color w:val="FF0000"/>
      <w:szCs w:val="20"/>
      <w:lang w:eastAsia="ja-JP"/>
    </w:rPr>
  </w:style>
  <w:style w:type="character" w:styleId="CommentReference">
    <w:name w:val="annotation reference"/>
    <w:basedOn w:val="DefaultParagraphFont"/>
    <w:semiHidden/>
    <w:rsid w:val="00B71A9F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B71A9F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71A9F"/>
    <w:rPr>
      <w:b/>
      <w:bCs/>
    </w:rPr>
  </w:style>
  <w:style w:type="paragraph" w:styleId="BalloonText">
    <w:name w:val="Balloon Text"/>
    <w:basedOn w:val="Normal"/>
    <w:semiHidden/>
    <w:rsid w:val="00B71A9F"/>
    <w:rPr>
      <w:rFonts w:ascii="Tahoma" w:eastAsia="MS Mincho" w:hAnsi="Tahoma" w:cs="Tahoma"/>
      <w:sz w:val="16"/>
      <w:szCs w:val="16"/>
    </w:rPr>
  </w:style>
  <w:style w:type="paragraph" w:customStyle="1" w:styleId="paragrafi0">
    <w:name w:val="paragrafi"/>
    <w:basedOn w:val="Normal"/>
    <w:rsid w:val="00B71A9F"/>
    <w:pPr>
      <w:spacing w:before="100" w:beforeAutospacing="1" w:after="100" w:afterAutospacing="1"/>
    </w:pPr>
  </w:style>
  <w:style w:type="numbering" w:styleId="111111">
    <w:name w:val="Outline List 2"/>
    <w:basedOn w:val="NoList"/>
    <w:rsid w:val="00B71A9F"/>
    <w:pPr>
      <w:numPr>
        <w:numId w:val="31"/>
      </w:numPr>
    </w:pPr>
  </w:style>
  <w:style w:type="character" w:customStyle="1" w:styleId="DeltaViewInsertion">
    <w:name w:val="DeltaView Insertion"/>
    <w:rsid w:val="00B71A9F"/>
    <w:rPr>
      <w:color w:val="0000FF"/>
      <w:spacing w:val="0"/>
      <w:u w:val="double"/>
    </w:rPr>
  </w:style>
  <w:style w:type="character" w:styleId="PageNumber">
    <w:name w:val="page number"/>
    <w:basedOn w:val="DefaultParagraphFont"/>
    <w:rsid w:val="00B71A9F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B71A9F"/>
    <w:pPr>
      <w:tabs>
        <w:tab w:val="center" w:pos="4320"/>
        <w:tab w:val="right" w:pos="8640"/>
      </w:tabs>
    </w:pPr>
  </w:style>
  <w:style w:type="character" w:customStyle="1" w:styleId="NumriDataChar">
    <w:name w:val="Numri_Data Char"/>
    <w:basedOn w:val="DefaultParagraphFont"/>
    <w:link w:val="NumriData"/>
    <w:rsid w:val="00B71A9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71A9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3011</Words>
  <Characters>17165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2019-03-16T18:55:00Z</dcterms:created>
  <dcterms:modified xsi:type="dcterms:W3CDTF">2019-03-16T18:55:00Z</dcterms:modified>
</cp:coreProperties>
</file>