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5B8A" w:rsidRPr="009E0CAD" w:rsidRDefault="00C85B8A" w:rsidP="00C85B8A">
      <w:pPr>
        <w:pStyle w:val="Akti"/>
        <w:keepNext w:val="0"/>
        <w:rPr>
          <w:rFonts w:eastAsia="MS Mincho"/>
          <w:sz w:val="21"/>
          <w:szCs w:val="21"/>
          <w:lang w:val="it-IT"/>
        </w:rPr>
      </w:pPr>
      <w:bookmarkStart w:id="0" w:name="_GoBack"/>
      <w:bookmarkEnd w:id="0"/>
      <w:r w:rsidRPr="009E0CAD">
        <w:rPr>
          <w:rFonts w:eastAsia="MS Mincho"/>
          <w:sz w:val="21"/>
          <w:szCs w:val="21"/>
          <w:lang w:val="it-IT"/>
        </w:rPr>
        <w:t>Vendim</w:t>
      </w:r>
    </w:p>
    <w:p w:rsidR="00C85B8A" w:rsidRPr="009E0CAD" w:rsidRDefault="00C85B8A" w:rsidP="00C85B8A">
      <w:pPr>
        <w:pStyle w:val="NumriData"/>
        <w:keepNext w:val="0"/>
        <w:rPr>
          <w:rFonts w:eastAsia="MS Mincho"/>
          <w:sz w:val="21"/>
          <w:szCs w:val="21"/>
          <w:lang w:val="it-IT"/>
        </w:rPr>
      </w:pPr>
      <w:r w:rsidRPr="009E0CAD">
        <w:rPr>
          <w:rFonts w:eastAsia="MS Mincho"/>
          <w:sz w:val="21"/>
          <w:szCs w:val="21"/>
          <w:lang w:val="it-IT"/>
        </w:rPr>
        <w:t>Nr.640, datë 21.5.2008</w:t>
      </w:r>
    </w:p>
    <w:p w:rsidR="00C85B8A" w:rsidRPr="009E0CAD" w:rsidRDefault="00C85B8A" w:rsidP="00C85B8A">
      <w:pPr>
        <w:pStyle w:val="Paragrafi"/>
        <w:rPr>
          <w:rFonts w:eastAsia="MS Mincho"/>
          <w:sz w:val="21"/>
          <w:szCs w:val="21"/>
          <w:lang w:val="it-IT"/>
        </w:rPr>
      </w:pPr>
    </w:p>
    <w:p w:rsidR="00C85B8A" w:rsidRPr="009E0CAD" w:rsidRDefault="00C85B8A" w:rsidP="00C85B8A">
      <w:pPr>
        <w:pStyle w:val="Titulli"/>
        <w:keepNext w:val="0"/>
        <w:rPr>
          <w:rFonts w:eastAsia="MS Mincho"/>
          <w:sz w:val="21"/>
          <w:szCs w:val="21"/>
          <w:lang w:val="it-IT"/>
        </w:rPr>
      </w:pPr>
      <w:r w:rsidRPr="009E0CAD">
        <w:rPr>
          <w:rFonts w:eastAsia="MS Mincho"/>
          <w:sz w:val="21"/>
          <w:szCs w:val="21"/>
          <w:lang w:val="it-IT"/>
        </w:rPr>
        <w:t>Për shpalljen “Park kombëtar” të ekosistemit natyror shebenik-Jabllanicë</w:t>
      </w:r>
    </w:p>
    <w:p w:rsidR="00C85B8A" w:rsidRPr="009E0CAD" w:rsidRDefault="00C85B8A" w:rsidP="00C85B8A">
      <w:pPr>
        <w:pStyle w:val="Paragrafi"/>
        <w:rPr>
          <w:rFonts w:eastAsia="MS Mincho"/>
          <w:sz w:val="14"/>
          <w:szCs w:val="21"/>
          <w:lang w:val="it-IT"/>
        </w:rPr>
      </w:pPr>
    </w:p>
    <w:p w:rsidR="00C85B8A" w:rsidRPr="009E0CAD" w:rsidRDefault="00C85B8A" w:rsidP="00C85B8A">
      <w:pPr>
        <w:pStyle w:val="Paragrafi"/>
        <w:rPr>
          <w:rFonts w:eastAsia="MS Mincho"/>
          <w:sz w:val="21"/>
          <w:szCs w:val="21"/>
          <w:lang w:val="it-IT"/>
        </w:rPr>
      </w:pPr>
      <w:r w:rsidRPr="009E0CAD">
        <w:rPr>
          <w:rFonts w:eastAsia="MS Mincho"/>
          <w:sz w:val="21"/>
          <w:szCs w:val="21"/>
          <w:lang w:val="it-IT"/>
        </w:rPr>
        <w:t xml:space="preserve">Në mbështetje të nenit 100 të Kushtetutës dhe të neneve </w:t>
      </w:r>
      <w:r>
        <w:rPr>
          <w:rFonts w:eastAsia="MS Mincho"/>
          <w:sz w:val="21"/>
          <w:szCs w:val="21"/>
          <w:lang w:val="it-IT"/>
        </w:rPr>
        <w:t>4, pika 1, shkronja “b”, 6 e 13</w:t>
      </w:r>
      <w:r w:rsidRPr="009E0CAD">
        <w:rPr>
          <w:rFonts w:eastAsia="MS Mincho"/>
          <w:sz w:val="21"/>
          <w:szCs w:val="21"/>
          <w:lang w:val="it-IT"/>
        </w:rPr>
        <w:t xml:space="preserve"> të ligjit nr.8906, datë 6.6.2002 “Për zonat e mbrojtura”, të ndryshuar, me propozimin e Ministrit të Mjedisit, Pyjeve dhe Administrimit të Ujërave, Këshilli i Ministrave</w:t>
      </w:r>
    </w:p>
    <w:p w:rsidR="00C85B8A" w:rsidRPr="009E0CAD" w:rsidRDefault="00C85B8A" w:rsidP="00C85B8A">
      <w:pPr>
        <w:pStyle w:val="Paragrafi"/>
        <w:rPr>
          <w:rFonts w:eastAsia="MS Mincho"/>
          <w:sz w:val="21"/>
          <w:szCs w:val="21"/>
          <w:lang w:val="it-IT"/>
        </w:rPr>
      </w:pPr>
    </w:p>
    <w:p w:rsidR="00C85B8A" w:rsidRPr="009E0CAD" w:rsidRDefault="00C85B8A" w:rsidP="00C85B8A">
      <w:pPr>
        <w:pStyle w:val="VENDOSI"/>
        <w:keepNext w:val="0"/>
        <w:rPr>
          <w:rFonts w:eastAsia="MS Mincho"/>
          <w:sz w:val="21"/>
          <w:szCs w:val="21"/>
          <w:lang w:val="it-IT"/>
        </w:rPr>
      </w:pPr>
      <w:r w:rsidRPr="009E0CAD">
        <w:rPr>
          <w:rFonts w:eastAsia="MS Mincho"/>
          <w:sz w:val="21"/>
          <w:szCs w:val="21"/>
          <w:lang w:val="it-IT"/>
        </w:rPr>
        <w:t>Vendosi:</w:t>
      </w:r>
    </w:p>
    <w:p w:rsidR="00C85B8A" w:rsidRPr="009E0CAD" w:rsidRDefault="00C85B8A" w:rsidP="00C85B8A">
      <w:pPr>
        <w:pStyle w:val="Paragrafi"/>
        <w:rPr>
          <w:rFonts w:eastAsia="MS Mincho"/>
          <w:sz w:val="16"/>
          <w:szCs w:val="21"/>
          <w:lang w:val="it-IT"/>
        </w:rPr>
      </w:pPr>
    </w:p>
    <w:p w:rsidR="00C85B8A" w:rsidRPr="009E0CAD" w:rsidRDefault="00C85B8A" w:rsidP="00C85B8A">
      <w:pPr>
        <w:pStyle w:val="Paragrafi"/>
        <w:rPr>
          <w:rFonts w:eastAsia="MS Mincho"/>
          <w:sz w:val="21"/>
          <w:szCs w:val="21"/>
          <w:lang w:val="it-IT"/>
        </w:rPr>
      </w:pPr>
      <w:r w:rsidRPr="009E0CAD">
        <w:rPr>
          <w:rFonts w:eastAsia="MS Mincho"/>
          <w:sz w:val="21"/>
          <w:szCs w:val="21"/>
          <w:lang w:val="it-IT"/>
        </w:rPr>
        <w:t>1. Shpalljen “Park Kombëtar” të ekosistemit natyror Shebenik-Jabllanicë, sipas përcaktimeve të bëra në hartën, që i bashkëlidhet këtij vendimi.</w:t>
      </w:r>
    </w:p>
    <w:p w:rsidR="00C85B8A" w:rsidRPr="009E0CAD" w:rsidRDefault="00C85B8A" w:rsidP="00C85B8A">
      <w:pPr>
        <w:pStyle w:val="Paragrafi"/>
        <w:rPr>
          <w:rFonts w:eastAsia="MS Mincho"/>
          <w:sz w:val="21"/>
          <w:szCs w:val="21"/>
          <w:lang w:val="it-IT"/>
        </w:rPr>
      </w:pPr>
      <w:r w:rsidRPr="009E0CAD">
        <w:rPr>
          <w:rFonts w:eastAsia="MS Mincho"/>
          <w:sz w:val="21"/>
          <w:szCs w:val="21"/>
          <w:lang w:val="it-IT"/>
        </w:rPr>
        <w:t>2. Kufijtë e këtij “Parku Kombëtar” janë, si më poshtë vijon:</w:t>
      </w:r>
    </w:p>
    <w:p w:rsidR="00C85B8A" w:rsidRPr="009E0CAD" w:rsidRDefault="00C85B8A" w:rsidP="00C85B8A">
      <w:pPr>
        <w:pStyle w:val="Paragrafi"/>
        <w:rPr>
          <w:rFonts w:eastAsia="MS Mincho"/>
          <w:sz w:val="21"/>
          <w:szCs w:val="21"/>
          <w:lang w:val="it-IT"/>
        </w:rPr>
      </w:pPr>
      <w:r w:rsidRPr="009E0CAD">
        <w:rPr>
          <w:rFonts w:eastAsia="MS Mincho"/>
          <w:sz w:val="21"/>
          <w:szCs w:val="21"/>
          <w:lang w:val="it-IT"/>
        </w:rPr>
        <w:t>a) Veri:</w:t>
      </w:r>
    </w:p>
    <w:p w:rsidR="00C85B8A" w:rsidRPr="009E0CAD" w:rsidRDefault="00C85B8A" w:rsidP="00C85B8A">
      <w:pPr>
        <w:pStyle w:val="Paragrafi"/>
        <w:rPr>
          <w:rFonts w:eastAsia="MS Mincho"/>
          <w:sz w:val="21"/>
          <w:szCs w:val="21"/>
          <w:lang w:val="it-IT"/>
        </w:rPr>
      </w:pPr>
      <w:r w:rsidRPr="009E0CAD">
        <w:rPr>
          <w:rFonts w:eastAsia="MS Mincho"/>
          <w:sz w:val="21"/>
          <w:szCs w:val="21"/>
          <w:lang w:val="it-IT"/>
        </w:rPr>
        <w:t>Pika e takimit të rrugës automobilistike Librazhd-Steblevë, me rrugën Librazhd-D</w:t>
      </w:r>
      <w:r>
        <w:rPr>
          <w:rFonts w:eastAsia="MS Mincho"/>
          <w:sz w:val="21"/>
          <w:szCs w:val="21"/>
          <w:lang w:val="it-IT"/>
        </w:rPr>
        <w:t>orëzi, me koordinata 4441509.41L/4564276.59</w:t>
      </w:r>
      <w:r w:rsidRPr="009E0CAD">
        <w:rPr>
          <w:rFonts w:eastAsia="MS Mincho"/>
          <w:sz w:val="21"/>
          <w:szCs w:val="21"/>
          <w:lang w:val="it-IT"/>
        </w:rPr>
        <w:t>V, ura e lumit Rapun, pranë fshatit Zagosht, shkalla e Lunikut, fshati Llanga, Fushë Studa. Kufiri verior ndjek rrugën e fshatit Borovë, në kuotën 887 m, përroin e Zallit të Klenjës, ndërpret rrugën automobilistike Steblevë-Klenjë, në kuotat 1328 m, 1462 m, 1484 m, 1654 m, 1778 m, pika kufitare, me kuota 1980 m (Shkëmbi i Shqipes) (4 460 524.30 L/4 580 064.18V).</w:t>
      </w:r>
    </w:p>
    <w:p w:rsidR="00C85B8A" w:rsidRPr="009E0CAD" w:rsidRDefault="00C85B8A" w:rsidP="00C85B8A">
      <w:pPr>
        <w:pStyle w:val="Paragrafi"/>
        <w:rPr>
          <w:rFonts w:eastAsia="MS Mincho"/>
          <w:sz w:val="21"/>
          <w:szCs w:val="21"/>
          <w:lang w:val="it-IT"/>
        </w:rPr>
      </w:pPr>
      <w:r w:rsidRPr="009E0CAD">
        <w:rPr>
          <w:rFonts w:eastAsia="MS Mincho"/>
          <w:sz w:val="21"/>
          <w:szCs w:val="21"/>
          <w:lang w:val="it-IT"/>
        </w:rPr>
        <w:t>b) Lindje:</w:t>
      </w:r>
    </w:p>
    <w:p w:rsidR="00C85B8A" w:rsidRPr="009E0CAD" w:rsidRDefault="00C85B8A" w:rsidP="00C85B8A">
      <w:pPr>
        <w:pStyle w:val="Paragrafi"/>
        <w:rPr>
          <w:rFonts w:eastAsia="MS Mincho"/>
          <w:sz w:val="21"/>
          <w:szCs w:val="21"/>
          <w:lang w:val="it-IT"/>
        </w:rPr>
      </w:pPr>
      <w:r w:rsidRPr="009E0CAD">
        <w:rPr>
          <w:rFonts w:eastAsia="MS Mincho"/>
          <w:sz w:val="21"/>
          <w:szCs w:val="21"/>
          <w:lang w:val="it-IT"/>
        </w:rPr>
        <w:t>Kuota 1980</w:t>
      </w:r>
      <w:r>
        <w:rPr>
          <w:rFonts w:eastAsia="MS Mincho"/>
          <w:sz w:val="21"/>
          <w:szCs w:val="21"/>
          <w:lang w:val="it-IT"/>
        </w:rPr>
        <w:t>.0</w:t>
      </w:r>
      <w:r w:rsidRPr="009E0CAD">
        <w:rPr>
          <w:rFonts w:eastAsia="MS Mincho"/>
          <w:sz w:val="21"/>
          <w:szCs w:val="21"/>
          <w:lang w:val="it-IT"/>
        </w:rPr>
        <w:t xml:space="preserve"> m (Shkëmbi i Shqipes), me koordinata 4 460 524.30L/4 580 064.18V, vijon përgjatë kufirit shtetëror, në kuotat 2071 m, Maja e Radacit (2081 m), 2069 m, Qafa e Kruqit, 2132 m, Shpella e Ariut, 2030 m, Qafa e Kokelit (1</w:t>
      </w:r>
      <w:r>
        <w:rPr>
          <w:rFonts w:eastAsia="MS Mincho"/>
          <w:sz w:val="21"/>
          <w:szCs w:val="21"/>
          <w:lang w:val="it-IT"/>
        </w:rPr>
        <w:t>883 m), 1922 m, 1948 m (Maja R</w:t>
      </w:r>
      <w:r w:rsidRPr="009E0CAD">
        <w:rPr>
          <w:rFonts w:eastAsia="MS Mincho"/>
          <w:sz w:val="21"/>
          <w:szCs w:val="21"/>
          <w:lang w:val="it-IT"/>
        </w:rPr>
        <w:t>eti Kurorës), 2020 m (Maja “Varri Marikës”), 2133 m (Maja e Kallkanit), 2189 m, 1709 m, 1611 m, 1594 m, Qafa Rinas 1404 m, me koordinata 4 465 215.85L/4 553 644.62V.</w:t>
      </w:r>
    </w:p>
    <w:p w:rsidR="00C85B8A" w:rsidRPr="00353C11" w:rsidRDefault="00C85B8A" w:rsidP="00C85B8A">
      <w:pPr>
        <w:pStyle w:val="Paragrafi"/>
        <w:rPr>
          <w:rFonts w:eastAsia="MS Mincho"/>
          <w:sz w:val="21"/>
          <w:szCs w:val="21"/>
          <w:lang w:val="it-IT"/>
        </w:rPr>
      </w:pPr>
      <w:r w:rsidRPr="00353C11">
        <w:rPr>
          <w:rFonts w:eastAsia="MS Mincho"/>
          <w:sz w:val="21"/>
          <w:szCs w:val="21"/>
          <w:lang w:val="it-IT"/>
        </w:rPr>
        <w:t>c) Jug:</w:t>
      </w:r>
    </w:p>
    <w:p w:rsidR="00C85B8A" w:rsidRDefault="00C85B8A" w:rsidP="00C85B8A">
      <w:pPr>
        <w:pStyle w:val="Paragrafi"/>
        <w:rPr>
          <w:rFonts w:eastAsia="MS Mincho"/>
          <w:sz w:val="21"/>
          <w:szCs w:val="21"/>
          <w:lang w:val="it-IT"/>
        </w:rPr>
      </w:pPr>
      <w:r w:rsidRPr="00353C11">
        <w:rPr>
          <w:rFonts w:eastAsia="MS Mincho"/>
          <w:sz w:val="21"/>
          <w:szCs w:val="21"/>
          <w:lang w:val="it-IT"/>
        </w:rPr>
        <w:t>Kuota 1404 m, me koordinata 4 465 215.85L/4 553 644.62V, ndjek kurrizin dhe rrugën për këmbësorë, në drejtim te Qafa e Policës, në kuotën 1366 m (Maja Kyqi Mjet), kalon te Qafa e Gjashtë Lisave, ndjek rrugën për këmbësorë dhe me kuotat 1379 m, 1376 m (Maja e Skurës), me koordinata 449 513.84L/4 553</w:t>
      </w:r>
      <w:r>
        <w:rPr>
          <w:rFonts w:eastAsia="MS Mincho"/>
          <w:sz w:val="21"/>
          <w:szCs w:val="21"/>
          <w:lang w:val="it-IT"/>
        </w:rPr>
        <w:t xml:space="preserve"> </w:t>
      </w:r>
      <w:r w:rsidRPr="00353C11">
        <w:rPr>
          <w:rFonts w:eastAsia="MS Mincho"/>
          <w:sz w:val="21"/>
          <w:szCs w:val="21"/>
          <w:lang w:val="it-IT"/>
        </w:rPr>
        <w:t>516.22V.</w:t>
      </w:r>
    </w:p>
    <w:p w:rsidR="00C85B8A" w:rsidRPr="00411E7E" w:rsidRDefault="00C85B8A" w:rsidP="00C85B8A">
      <w:pPr>
        <w:pStyle w:val="Paragrafi"/>
        <w:rPr>
          <w:rFonts w:eastAsia="MS Mincho"/>
          <w:sz w:val="21"/>
          <w:szCs w:val="21"/>
          <w:lang w:val="en-GB"/>
        </w:rPr>
      </w:pPr>
      <w:r w:rsidRPr="00411E7E">
        <w:rPr>
          <w:rFonts w:eastAsia="MS Mincho"/>
          <w:sz w:val="21"/>
          <w:szCs w:val="21"/>
          <w:lang w:val="en-GB"/>
        </w:rPr>
        <w:t>ç) Perëndim:</w:t>
      </w:r>
    </w:p>
    <w:p w:rsidR="00C85B8A" w:rsidRPr="00411E7E" w:rsidRDefault="00C85B8A" w:rsidP="00C85B8A">
      <w:pPr>
        <w:pStyle w:val="Paragrafi"/>
        <w:rPr>
          <w:rFonts w:eastAsia="MS Mincho"/>
          <w:sz w:val="21"/>
          <w:szCs w:val="21"/>
          <w:lang w:val="en-GB"/>
        </w:rPr>
      </w:pPr>
      <w:r w:rsidRPr="00411E7E">
        <w:rPr>
          <w:rFonts w:eastAsia="MS Mincho"/>
          <w:sz w:val="21"/>
          <w:szCs w:val="21"/>
          <w:lang w:val="en-GB"/>
        </w:rPr>
        <w:t>Kuota 1376.3 m (Maja e Skurës), me koordinata 449 513.84L/4 553 51</w:t>
      </w:r>
      <w:r>
        <w:rPr>
          <w:rFonts w:eastAsia="MS Mincho"/>
          <w:sz w:val="21"/>
          <w:szCs w:val="21"/>
          <w:lang w:val="en-GB"/>
        </w:rPr>
        <w:t>6.22V)</w:t>
      </w:r>
      <w:r w:rsidRPr="00411E7E">
        <w:rPr>
          <w:rFonts w:eastAsia="MS Mincho"/>
          <w:sz w:val="21"/>
          <w:szCs w:val="21"/>
          <w:lang w:val="en-GB"/>
        </w:rPr>
        <w:t xml:space="preserve"> zbret kurrizin, ndërpret lumin e Bushtricës, vijon në kuotat 1147 m, 1054 m (Maja e Trestenikut), 1143 m (Maja “Varri i Plakës”), 1063 m, ndjek rrugën për këmbësorë për në fshatin Bozgarë-Kokrevë, në kuotën 783 m, ndërpret përroin e Hotolishtit, ngjitet kurrizit, në kuotat 767 m, 744 m, 1100 m, 505 m, 916 m, kalon përgjatë rrugës Dorëzi-Librazhd, deri te pika e takimit me rrugën automobilistike Librazhd-Steblevë, me koordinata 4 441 509.41L/4 564 276.59V.</w:t>
      </w:r>
    </w:p>
    <w:p w:rsidR="00C85B8A" w:rsidRPr="009E0CAD" w:rsidRDefault="00C85B8A" w:rsidP="00C85B8A">
      <w:pPr>
        <w:pStyle w:val="Paragrafi"/>
        <w:rPr>
          <w:rFonts w:eastAsia="MS Mincho"/>
          <w:sz w:val="21"/>
          <w:szCs w:val="21"/>
          <w:lang w:val="en-GB"/>
        </w:rPr>
      </w:pPr>
      <w:r>
        <w:rPr>
          <w:rFonts w:eastAsia="MS Mincho"/>
          <w:sz w:val="21"/>
          <w:szCs w:val="21"/>
          <w:lang w:val="en-GB"/>
        </w:rPr>
        <w:t xml:space="preserve">3. </w:t>
      </w:r>
      <w:r w:rsidRPr="009E0CAD">
        <w:rPr>
          <w:rFonts w:eastAsia="MS Mincho"/>
          <w:sz w:val="21"/>
          <w:szCs w:val="21"/>
          <w:lang w:val="en-GB"/>
        </w:rPr>
        <w:t>“Parku Kombëtar” Shebenik-Jabllanicë ka një sipërfaqe të përgjithshme 33 927,66 (tridhjetë e tre mijë e nëntëqind e njëzet e shtatë presje gjashtëdhjetë e gjashtë) ha, ku pjesën kryesore të territorit e zënë sipërfaqet pyjore, të ndjekura nga sipërfaqet kullosore, bujqësore, joprodhuese, shkëmbore dhe sipërfaqe troje, sipas tabelës, që i bashkëlidhet këtij vendimi.</w:t>
      </w:r>
    </w:p>
    <w:p w:rsidR="00C85B8A" w:rsidRPr="009E0CAD" w:rsidRDefault="00C85B8A" w:rsidP="00C85B8A">
      <w:pPr>
        <w:pStyle w:val="Paragrafi"/>
        <w:rPr>
          <w:rFonts w:eastAsia="MS Mincho"/>
          <w:sz w:val="21"/>
          <w:szCs w:val="21"/>
          <w:lang w:val="en-GB"/>
        </w:rPr>
      </w:pPr>
      <w:r w:rsidRPr="009E0CAD">
        <w:rPr>
          <w:rFonts w:eastAsia="MS Mincho"/>
          <w:sz w:val="21"/>
          <w:szCs w:val="21"/>
          <w:lang w:val="en-GB"/>
        </w:rPr>
        <w:t>4. “Parku Kombëtar” Shebenik-Jabllanicë ndahet në katër nënzona ruajtjeje e administrimi, si më poshtë vijon:</w:t>
      </w:r>
    </w:p>
    <w:p w:rsidR="00C85B8A" w:rsidRPr="00411E7E" w:rsidRDefault="00C85B8A" w:rsidP="00C85B8A">
      <w:pPr>
        <w:pStyle w:val="Paragrafi"/>
        <w:rPr>
          <w:rFonts w:eastAsia="MS Mincho"/>
          <w:sz w:val="21"/>
          <w:szCs w:val="21"/>
          <w:lang w:val="it-IT"/>
        </w:rPr>
      </w:pPr>
      <w:r w:rsidRPr="00411E7E">
        <w:rPr>
          <w:rFonts w:eastAsia="MS Mincho"/>
          <w:sz w:val="21"/>
          <w:szCs w:val="21"/>
          <w:lang w:val="it-IT"/>
        </w:rPr>
        <w:t>a) Zona qendrore, me sipërfaqe 14 046 ha, e shënuar në hartë me “ZQ”, përfshin habitatet kryesore natyrore. Ajo përcaktohet si zonë me vlera të larta për natyrën dhe biodiversitetin dhe në të zbatohet shkalla e parë e mbrojtjes, që siguron një territor të pashqetësuar.</w:t>
      </w:r>
    </w:p>
    <w:p w:rsidR="00C85B8A" w:rsidRPr="00411E7E" w:rsidRDefault="00C85B8A" w:rsidP="00C85B8A">
      <w:pPr>
        <w:pStyle w:val="Paragrafi"/>
        <w:rPr>
          <w:rFonts w:eastAsia="MS Mincho"/>
          <w:sz w:val="21"/>
          <w:szCs w:val="21"/>
          <w:lang w:val="it-IT"/>
        </w:rPr>
      </w:pPr>
      <w:r w:rsidRPr="00411E7E">
        <w:rPr>
          <w:rFonts w:eastAsia="MS Mincho"/>
          <w:sz w:val="21"/>
          <w:szCs w:val="21"/>
          <w:lang w:val="it-IT"/>
        </w:rPr>
        <w:t xml:space="preserve">b) Zona e përdorimit të qëndrueshëm, me sipërfaqe 5 253 ha, e shënuar në hartë me “ZPQ”, përfshihen habitate, pyjore e kullosore, pothuajse natyrore, përreth zonës qendrore, për të cilën ajo shërben si zonë buferike. Në këtë zonë lejohen veprimtari ekonomike sezonale (si kullotja, grumbullimi i bimëve mjekësore, prodhimeve të dyta të pyllit), të cilat nuk cenojnë integritetin ekologjik të ekosistemit dhe ushtrohen vetëm me leje mjedisore. Në zonën e përdorimit të </w:t>
      </w:r>
      <w:r w:rsidRPr="00411E7E">
        <w:rPr>
          <w:rFonts w:eastAsia="MS Mincho"/>
          <w:sz w:val="21"/>
          <w:szCs w:val="21"/>
          <w:lang w:val="it-IT"/>
        </w:rPr>
        <w:lastRenderedPageBreak/>
        <w:t>qëndrueshëm zbatohet shkalla e dytë e mbrojtjes.</w:t>
      </w:r>
    </w:p>
    <w:p w:rsidR="00C85B8A" w:rsidRPr="00411E7E" w:rsidRDefault="00C85B8A" w:rsidP="00C85B8A">
      <w:pPr>
        <w:pStyle w:val="Paragrafi"/>
        <w:rPr>
          <w:rFonts w:eastAsia="MS Mincho"/>
          <w:sz w:val="21"/>
          <w:szCs w:val="21"/>
          <w:lang w:val="it-IT"/>
        </w:rPr>
      </w:pPr>
      <w:r w:rsidRPr="00411E7E">
        <w:rPr>
          <w:rFonts w:eastAsia="MS Mincho"/>
          <w:sz w:val="21"/>
          <w:szCs w:val="21"/>
          <w:lang w:val="it-IT"/>
        </w:rPr>
        <w:t>c) Zona rekreative, me sipërfaqe 2209 ha, e shënuar në hartë me “ZR”, përbën zonën me mundësi rekreative, në natyrë të hapur, në përputhje me funksionet e zonës së mbrojtur, vlerat ekologjike, të peizazhit dhe vlerat, turistike e kulturore. Në këtë zonë përfshihen pjesët pyjore, kullotat, livadhet dhe tokat bujqësore në Letë, Fushë Studë e Steblevë. Në zonën rekreative zbatohet shkalla e tretë e mbrojtjes.</w:t>
      </w:r>
    </w:p>
    <w:p w:rsidR="00C85B8A" w:rsidRPr="00411E7E" w:rsidRDefault="00C85B8A" w:rsidP="00C85B8A">
      <w:pPr>
        <w:pStyle w:val="Paragrafi"/>
        <w:rPr>
          <w:rFonts w:eastAsia="MS Mincho"/>
          <w:sz w:val="21"/>
          <w:szCs w:val="21"/>
          <w:lang w:val="it-IT"/>
        </w:rPr>
      </w:pPr>
      <w:r w:rsidRPr="00411E7E">
        <w:rPr>
          <w:rFonts w:eastAsia="MS Mincho"/>
          <w:sz w:val="21"/>
          <w:szCs w:val="21"/>
          <w:lang w:val="it-IT"/>
        </w:rPr>
        <w:t>ç) Zonat e përdorimit tradicional, me sipërfaqe 12 420 ha, e shënuar në hartë me “ZPT”, është zonë ku mundësohet vazhdimi i veprimtarive, tradicionale dhe ekonomike, e ku mund të ushtrohen veprimtari të reja, vetëm me lejet mjedisore dhe, për rastet e trashëgimisë kulturore me leje të Ministrit të Turizmit, Kulturës, Rinisë dhe Sporteve dhe të shërbimit arkeologjik. Zona përfshihen territoret bujqësore, ujore e pyjore, rreth qendrave të banuara, kryesisht të përdorura nga banorët. Në zonën e përdorimit tradicional zbatohet shkalla e katërt e mbrojtjes.</w:t>
      </w:r>
    </w:p>
    <w:p w:rsidR="00C85B8A" w:rsidRPr="00411E7E" w:rsidRDefault="00C85B8A" w:rsidP="00C85B8A">
      <w:pPr>
        <w:pStyle w:val="Paragrafi"/>
        <w:rPr>
          <w:rFonts w:eastAsia="MS Mincho"/>
          <w:sz w:val="21"/>
          <w:szCs w:val="21"/>
          <w:lang w:val="it-IT"/>
        </w:rPr>
      </w:pPr>
      <w:r w:rsidRPr="00411E7E">
        <w:rPr>
          <w:rFonts w:eastAsia="MS Mincho"/>
          <w:sz w:val="21"/>
          <w:szCs w:val="21"/>
          <w:lang w:val="it-IT"/>
        </w:rPr>
        <w:t>5. Ministria e Mjedisit, Pyjeve dhe Administrimit të Ujërave dhe ministritë e tjera të linjës, në bashkëpunim me njësitë e qeverisjes vendore, me institucionet kërkimore-shkencore, me përfaqësuesit e biznesit dhe të pronarëve privatë, brenda 1 viti nga hyrja në fuqi e këtij vendimi, hartojnë planin e menaxhimit të këtij parku kombëtar.</w:t>
      </w:r>
    </w:p>
    <w:p w:rsidR="00C85B8A" w:rsidRPr="00411E7E" w:rsidRDefault="00C85B8A" w:rsidP="00C85B8A">
      <w:pPr>
        <w:pStyle w:val="Paragrafi"/>
        <w:rPr>
          <w:rFonts w:eastAsia="MS Mincho"/>
          <w:sz w:val="21"/>
          <w:szCs w:val="21"/>
          <w:lang w:val="it-IT"/>
        </w:rPr>
      </w:pPr>
      <w:r w:rsidRPr="00411E7E">
        <w:rPr>
          <w:rFonts w:eastAsia="MS Mincho"/>
          <w:sz w:val="21"/>
          <w:szCs w:val="21"/>
          <w:lang w:val="it-IT"/>
        </w:rPr>
        <w:t>6. Administrata ekzistuese e zonës së mbrojtur kryen funksionet e administratës së “Parkut Kombëtar” Shebenik-Jabllnicë.</w:t>
      </w:r>
    </w:p>
    <w:p w:rsidR="00C85B8A" w:rsidRPr="00411E7E" w:rsidRDefault="00C85B8A" w:rsidP="00C85B8A">
      <w:pPr>
        <w:pStyle w:val="Paragrafi"/>
        <w:rPr>
          <w:rFonts w:eastAsia="MS Mincho"/>
          <w:sz w:val="21"/>
          <w:szCs w:val="21"/>
          <w:lang w:val="it-IT"/>
        </w:rPr>
      </w:pPr>
      <w:r w:rsidRPr="00411E7E">
        <w:rPr>
          <w:rFonts w:eastAsia="MS Mincho"/>
          <w:sz w:val="21"/>
          <w:szCs w:val="21"/>
          <w:lang w:val="it-IT"/>
        </w:rPr>
        <w:t>7. Ngarkohen Ministria e Mjedisit, Pyjeve dhe Administrimit të Ujërave dhe organet përkatëse të qeverisjes vendore për zbatimin e këtij vendimi.</w:t>
      </w:r>
    </w:p>
    <w:p w:rsidR="00C85B8A" w:rsidRPr="00411E7E" w:rsidRDefault="00C85B8A" w:rsidP="00C85B8A">
      <w:pPr>
        <w:pStyle w:val="Paragrafi"/>
        <w:rPr>
          <w:rFonts w:eastAsia="MS Mincho"/>
          <w:sz w:val="21"/>
          <w:szCs w:val="21"/>
          <w:lang w:val="it-IT"/>
        </w:rPr>
      </w:pPr>
      <w:r w:rsidRPr="00411E7E">
        <w:rPr>
          <w:rFonts w:eastAsia="MS Mincho"/>
          <w:sz w:val="21"/>
          <w:szCs w:val="21"/>
          <w:lang w:val="it-IT"/>
        </w:rPr>
        <w:t>Ky vendim hyn në fuqi pas botimit në Fletoren Zyrtare.</w:t>
      </w:r>
    </w:p>
    <w:p w:rsidR="00C85B8A" w:rsidRPr="00411E7E" w:rsidRDefault="00C85B8A" w:rsidP="00C85B8A">
      <w:pPr>
        <w:pStyle w:val="Paragrafi"/>
        <w:rPr>
          <w:rFonts w:eastAsia="MS Mincho"/>
          <w:sz w:val="21"/>
          <w:szCs w:val="21"/>
          <w:lang w:val="it-IT"/>
        </w:rPr>
      </w:pPr>
    </w:p>
    <w:p w:rsidR="00C85B8A" w:rsidRPr="009E0CAD" w:rsidRDefault="00C85B8A" w:rsidP="00C85B8A">
      <w:pPr>
        <w:pStyle w:val="Autoriteti"/>
        <w:keepNext w:val="0"/>
        <w:rPr>
          <w:rFonts w:eastAsia="MS Mincho"/>
          <w:sz w:val="21"/>
          <w:szCs w:val="21"/>
          <w:lang w:val="it-IT"/>
        </w:rPr>
      </w:pPr>
      <w:r w:rsidRPr="009E0CAD">
        <w:rPr>
          <w:rFonts w:eastAsia="MS Mincho"/>
          <w:sz w:val="21"/>
          <w:szCs w:val="21"/>
          <w:lang w:val="it-IT"/>
        </w:rPr>
        <w:t>Kryeministri</w:t>
      </w:r>
    </w:p>
    <w:p w:rsidR="00C85B8A" w:rsidRPr="009E0CAD" w:rsidRDefault="00C85B8A" w:rsidP="00C85B8A">
      <w:pPr>
        <w:pStyle w:val="AutoritetiEmer"/>
        <w:rPr>
          <w:rFonts w:eastAsia="MS Mincho"/>
          <w:sz w:val="21"/>
          <w:szCs w:val="21"/>
          <w:lang w:val="it-IT"/>
        </w:rPr>
      </w:pPr>
      <w:r w:rsidRPr="009E0CAD">
        <w:rPr>
          <w:rFonts w:eastAsia="MS Mincho"/>
          <w:sz w:val="21"/>
          <w:szCs w:val="21"/>
          <w:lang w:val="it-IT"/>
        </w:rPr>
        <w:t>Sali Berisha</w:t>
      </w:r>
    </w:p>
    <w:p w:rsidR="00C85B8A" w:rsidRDefault="00C85B8A" w:rsidP="00C85B8A">
      <w:pPr>
        <w:pStyle w:val="Paragrafi"/>
        <w:rPr>
          <w:rFonts w:eastAsia="MS Mincho"/>
          <w:sz w:val="21"/>
          <w:szCs w:val="21"/>
          <w:lang w:val="it-IT"/>
        </w:rPr>
      </w:pPr>
    </w:p>
    <w:p w:rsidR="00C85B8A" w:rsidRPr="00411E7E" w:rsidRDefault="00C85B8A" w:rsidP="00C85B8A">
      <w:pPr>
        <w:pStyle w:val="Paragrafi"/>
        <w:jc w:val="right"/>
        <w:rPr>
          <w:rFonts w:eastAsia="MS Mincho"/>
          <w:sz w:val="21"/>
          <w:szCs w:val="21"/>
          <w:lang w:val="it-IT"/>
        </w:rPr>
      </w:pPr>
      <w:r w:rsidRPr="00411E7E">
        <w:rPr>
          <w:rFonts w:eastAsia="MS Mincho"/>
          <w:sz w:val="21"/>
          <w:szCs w:val="21"/>
          <w:lang w:val="it-IT"/>
        </w:rPr>
        <w:t>Tabela</w:t>
      </w:r>
    </w:p>
    <w:p w:rsidR="00C85B8A" w:rsidRPr="00411E7E" w:rsidRDefault="00C85B8A" w:rsidP="00C85B8A">
      <w:pPr>
        <w:pStyle w:val="Paragrafi"/>
        <w:rPr>
          <w:rFonts w:eastAsia="MS Mincho"/>
          <w:sz w:val="21"/>
          <w:szCs w:val="21"/>
          <w:lang w:val="it-IT"/>
        </w:rPr>
      </w:pPr>
    </w:p>
    <w:p w:rsidR="00C85B8A" w:rsidRPr="00411E7E" w:rsidRDefault="00C85B8A" w:rsidP="00C85B8A">
      <w:pPr>
        <w:pStyle w:val="TitulliTitull"/>
        <w:keepNext w:val="0"/>
        <w:rPr>
          <w:rFonts w:eastAsia="MS Mincho"/>
        </w:rPr>
      </w:pPr>
      <w:r w:rsidRPr="00411E7E">
        <w:rPr>
          <w:rFonts w:eastAsia="MS Mincho"/>
        </w:rPr>
        <w:t>Sasia e sipërfaqeve, sipas përbërjes</w:t>
      </w:r>
    </w:p>
    <w:p w:rsidR="00C85B8A" w:rsidRPr="00411E7E" w:rsidRDefault="00C85B8A" w:rsidP="00C85B8A">
      <w:pPr>
        <w:pStyle w:val="Paragrafi"/>
        <w:rPr>
          <w:rFonts w:eastAsia="MS Mincho"/>
          <w:sz w:val="21"/>
          <w:szCs w:val="21"/>
          <w:lang w:val="it-IT"/>
        </w:rPr>
      </w:pPr>
    </w:p>
    <w:tbl>
      <w:tblPr>
        <w:tblStyle w:val="TableGrid"/>
        <w:tblW w:w="5000" w:type="pct"/>
        <w:jc w:val="center"/>
        <w:tblLook w:val="01E0" w:firstRow="1" w:lastRow="1" w:firstColumn="1" w:lastColumn="1" w:noHBand="0" w:noVBand="0"/>
      </w:tblPr>
      <w:tblGrid>
        <w:gridCol w:w="816"/>
        <w:gridCol w:w="5087"/>
        <w:gridCol w:w="2953"/>
      </w:tblGrid>
      <w:tr w:rsidR="00C85B8A" w:rsidRPr="00C85B8A">
        <w:trPr>
          <w:jc w:val="center"/>
        </w:trPr>
        <w:tc>
          <w:tcPr>
            <w:tcW w:w="461" w:type="pct"/>
          </w:tcPr>
          <w:p w:rsidR="00C85B8A" w:rsidRPr="00C85B8A" w:rsidRDefault="00C85B8A" w:rsidP="00C85B8A">
            <w:pPr>
              <w:pStyle w:val="Tabele"/>
              <w:widowControl w:val="0"/>
              <w:jc w:val="center"/>
              <w:rPr>
                <w:rFonts w:eastAsia="MS Mincho"/>
                <w:b/>
                <w:sz w:val="18"/>
                <w:szCs w:val="18"/>
              </w:rPr>
            </w:pPr>
            <w:r w:rsidRPr="00C85B8A">
              <w:rPr>
                <w:rFonts w:eastAsia="MS Mincho"/>
                <w:b/>
                <w:sz w:val="18"/>
                <w:szCs w:val="18"/>
              </w:rPr>
              <w:t>Nr.</w:t>
            </w:r>
          </w:p>
        </w:tc>
        <w:tc>
          <w:tcPr>
            <w:tcW w:w="2872" w:type="pct"/>
          </w:tcPr>
          <w:p w:rsidR="00C85B8A" w:rsidRPr="00C85B8A" w:rsidRDefault="00C85B8A" w:rsidP="00C85B8A">
            <w:pPr>
              <w:pStyle w:val="Tabele"/>
              <w:widowControl w:val="0"/>
              <w:jc w:val="center"/>
              <w:rPr>
                <w:rFonts w:eastAsia="MS Mincho"/>
                <w:b/>
                <w:sz w:val="18"/>
                <w:szCs w:val="18"/>
              </w:rPr>
            </w:pPr>
            <w:r w:rsidRPr="00C85B8A">
              <w:rPr>
                <w:rFonts w:eastAsia="MS Mincho"/>
                <w:b/>
                <w:sz w:val="18"/>
                <w:szCs w:val="18"/>
              </w:rPr>
              <w:t>Përdorimi i territorit</w:t>
            </w:r>
          </w:p>
        </w:tc>
        <w:tc>
          <w:tcPr>
            <w:tcW w:w="1667" w:type="pct"/>
          </w:tcPr>
          <w:p w:rsidR="00C85B8A" w:rsidRPr="00C85B8A" w:rsidRDefault="00C85B8A" w:rsidP="00C85B8A">
            <w:pPr>
              <w:pStyle w:val="Tabele"/>
              <w:widowControl w:val="0"/>
              <w:jc w:val="center"/>
              <w:rPr>
                <w:rFonts w:eastAsia="MS Mincho"/>
                <w:b/>
                <w:sz w:val="18"/>
                <w:szCs w:val="18"/>
              </w:rPr>
            </w:pPr>
            <w:r w:rsidRPr="00C85B8A">
              <w:rPr>
                <w:rFonts w:eastAsia="MS Mincho"/>
                <w:b/>
                <w:sz w:val="18"/>
                <w:szCs w:val="18"/>
              </w:rPr>
              <w:t>Sipërfaqja në ha</w:t>
            </w:r>
          </w:p>
          <w:p w:rsidR="00C85B8A" w:rsidRPr="00C85B8A" w:rsidRDefault="00C85B8A" w:rsidP="00C85B8A">
            <w:pPr>
              <w:pStyle w:val="Tabele"/>
              <w:widowControl w:val="0"/>
              <w:jc w:val="center"/>
              <w:rPr>
                <w:rFonts w:eastAsia="MS Mincho"/>
                <w:b/>
                <w:sz w:val="18"/>
                <w:szCs w:val="18"/>
              </w:rPr>
            </w:pPr>
          </w:p>
        </w:tc>
      </w:tr>
      <w:tr w:rsidR="00C85B8A" w:rsidRPr="00C85B8A">
        <w:trPr>
          <w:jc w:val="center"/>
        </w:trPr>
        <w:tc>
          <w:tcPr>
            <w:tcW w:w="461" w:type="pct"/>
          </w:tcPr>
          <w:p w:rsidR="00C85B8A" w:rsidRPr="00C85B8A" w:rsidRDefault="00C85B8A" w:rsidP="00C85B8A">
            <w:pPr>
              <w:pStyle w:val="Tabele"/>
              <w:widowControl w:val="0"/>
              <w:rPr>
                <w:rFonts w:eastAsia="MS Mincho"/>
                <w:sz w:val="18"/>
                <w:szCs w:val="18"/>
              </w:rPr>
            </w:pPr>
            <w:r w:rsidRPr="00C85B8A">
              <w:rPr>
                <w:rFonts w:eastAsia="MS Mincho"/>
                <w:sz w:val="18"/>
                <w:szCs w:val="18"/>
              </w:rPr>
              <w:t>1.</w:t>
            </w:r>
          </w:p>
        </w:tc>
        <w:tc>
          <w:tcPr>
            <w:tcW w:w="2872" w:type="pct"/>
          </w:tcPr>
          <w:p w:rsidR="00C85B8A" w:rsidRPr="00C85B8A" w:rsidRDefault="00C85B8A" w:rsidP="00C85B8A">
            <w:pPr>
              <w:pStyle w:val="Tabele"/>
              <w:widowControl w:val="0"/>
              <w:rPr>
                <w:rFonts w:eastAsia="MS Mincho"/>
                <w:sz w:val="18"/>
                <w:szCs w:val="18"/>
              </w:rPr>
            </w:pPr>
            <w:r w:rsidRPr="00C85B8A">
              <w:rPr>
                <w:rFonts w:eastAsia="MS Mincho"/>
                <w:sz w:val="18"/>
                <w:szCs w:val="18"/>
              </w:rPr>
              <w:t>Sipërfaqe pyjore, pyje të përzier (ah, pishë, dushk), shkurre, ripyllëzime, tokë me bimësi pyjore</w:t>
            </w:r>
          </w:p>
        </w:tc>
        <w:tc>
          <w:tcPr>
            <w:tcW w:w="1667" w:type="pct"/>
          </w:tcPr>
          <w:p w:rsidR="00C85B8A" w:rsidRPr="00C85B8A" w:rsidRDefault="00C85B8A" w:rsidP="00C85B8A">
            <w:pPr>
              <w:pStyle w:val="Tabele"/>
              <w:widowControl w:val="0"/>
              <w:rPr>
                <w:rFonts w:eastAsia="MS Mincho"/>
                <w:sz w:val="18"/>
                <w:szCs w:val="18"/>
              </w:rPr>
            </w:pPr>
            <w:r w:rsidRPr="00C85B8A">
              <w:rPr>
                <w:rFonts w:eastAsia="MS Mincho"/>
                <w:sz w:val="18"/>
                <w:szCs w:val="18"/>
              </w:rPr>
              <w:t>24 044,89</w:t>
            </w:r>
          </w:p>
        </w:tc>
      </w:tr>
      <w:tr w:rsidR="00C85B8A" w:rsidRPr="00C85B8A">
        <w:trPr>
          <w:jc w:val="center"/>
        </w:trPr>
        <w:tc>
          <w:tcPr>
            <w:tcW w:w="461" w:type="pct"/>
          </w:tcPr>
          <w:p w:rsidR="00C85B8A" w:rsidRPr="00C85B8A" w:rsidRDefault="00C85B8A" w:rsidP="00C85B8A">
            <w:pPr>
              <w:pStyle w:val="Tabele"/>
              <w:widowControl w:val="0"/>
              <w:rPr>
                <w:rFonts w:eastAsia="MS Mincho"/>
                <w:sz w:val="18"/>
                <w:szCs w:val="18"/>
              </w:rPr>
            </w:pPr>
            <w:r w:rsidRPr="00C85B8A">
              <w:rPr>
                <w:rFonts w:eastAsia="MS Mincho"/>
                <w:sz w:val="18"/>
                <w:szCs w:val="18"/>
              </w:rPr>
              <w:t>2.</w:t>
            </w:r>
          </w:p>
        </w:tc>
        <w:tc>
          <w:tcPr>
            <w:tcW w:w="2872" w:type="pct"/>
          </w:tcPr>
          <w:p w:rsidR="00C85B8A" w:rsidRPr="00C85B8A" w:rsidRDefault="00C85B8A" w:rsidP="00C85B8A">
            <w:pPr>
              <w:pStyle w:val="Tabele"/>
              <w:widowControl w:val="0"/>
              <w:rPr>
                <w:rFonts w:eastAsia="MS Mincho"/>
                <w:sz w:val="18"/>
                <w:szCs w:val="18"/>
              </w:rPr>
            </w:pPr>
            <w:r w:rsidRPr="00C85B8A">
              <w:rPr>
                <w:rFonts w:eastAsia="MS Mincho"/>
                <w:sz w:val="18"/>
                <w:szCs w:val="18"/>
              </w:rPr>
              <w:t>Sipërfaqe kullosore e livadhe</w:t>
            </w:r>
          </w:p>
        </w:tc>
        <w:tc>
          <w:tcPr>
            <w:tcW w:w="1667" w:type="pct"/>
          </w:tcPr>
          <w:p w:rsidR="00C85B8A" w:rsidRPr="00C85B8A" w:rsidRDefault="00C85B8A" w:rsidP="00C85B8A">
            <w:pPr>
              <w:pStyle w:val="Tabele"/>
              <w:widowControl w:val="0"/>
              <w:rPr>
                <w:rFonts w:eastAsia="MS Mincho"/>
                <w:sz w:val="18"/>
                <w:szCs w:val="18"/>
              </w:rPr>
            </w:pPr>
            <w:r w:rsidRPr="00C85B8A">
              <w:rPr>
                <w:rFonts w:eastAsia="MS Mincho"/>
                <w:sz w:val="18"/>
                <w:szCs w:val="18"/>
              </w:rPr>
              <w:t>6 759,50</w:t>
            </w:r>
          </w:p>
        </w:tc>
      </w:tr>
      <w:tr w:rsidR="00C85B8A" w:rsidRPr="00C85B8A">
        <w:trPr>
          <w:jc w:val="center"/>
        </w:trPr>
        <w:tc>
          <w:tcPr>
            <w:tcW w:w="461" w:type="pct"/>
          </w:tcPr>
          <w:p w:rsidR="00C85B8A" w:rsidRPr="00C85B8A" w:rsidRDefault="00C85B8A" w:rsidP="00C85B8A">
            <w:pPr>
              <w:pStyle w:val="Tabele"/>
              <w:widowControl w:val="0"/>
              <w:rPr>
                <w:rFonts w:eastAsia="MS Mincho"/>
                <w:sz w:val="18"/>
                <w:szCs w:val="18"/>
              </w:rPr>
            </w:pPr>
            <w:r w:rsidRPr="00C85B8A">
              <w:rPr>
                <w:rFonts w:eastAsia="MS Mincho"/>
                <w:sz w:val="18"/>
                <w:szCs w:val="18"/>
              </w:rPr>
              <w:t>3.</w:t>
            </w:r>
          </w:p>
        </w:tc>
        <w:tc>
          <w:tcPr>
            <w:tcW w:w="2872" w:type="pct"/>
          </w:tcPr>
          <w:p w:rsidR="00C85B8A" w:rsidRPr="00C85B8A" w:rsidRDefault="00C85B8A" w:rsidP="00C85B8A">
            <w:pPr>
              <w:pStyle w:val="Tabele"/>
              <w:widowControl w:val="0"/>
              <w:rPr>
                <w:rFonts w:eastAsia="MS Mincho"/>
                <w:sz w:val="18"/>
                <w:szCs w:val="18"/>
              </w:rPr>
            </w:pPr>
            <w:r w:rsidRPr="00C85B8A">
              <w:rPr>
                <w:rFonts w:eastAsia="MS Mincho"/>
                <w:sz w:val="18"/>
                <w:szCs w:val="18"/>
              </w:rPr>
              <w:t>Sipërfaqe bujqësore, (arë, pemëtore, vreshta)</w:t>
            </w:r>
          </w:p>
        </w:tc>
        <w:tc>
          <w:tcPr>
            <w:tcW w:w="1667" w:type="pct"/>
          </w:tcPr>
          <w:p w:rsidR="00C85B8A" w:rsidRPr="00C85B8A" w:rsidRDefault="00C85B8A" w:rsidP="00C85B8A">
            <w:pPr>
              <w:pStyle w:val="Tabele"/>
              <w:widowControl w:val="0"/>
              <w:rPr>
                <w:rFonts w:eastAsia="MS Mincho"/>
                <w:sz w:val="18"/>
                <w:szCs w:val="18"/>
              </w:rPr>
            </w:pPr>
            <w:r w:rsidRPr="00C85B8A">
              <w:rPr>
                <w:rFonts w:eastAsia="MS Mincho"/>
                <w:sz w:val="18"/>
                <w:szCs w:val="18"/>
              </w:rPr>
              <w:t>2 323,00</w:t>
            </w:r>
          </w:p>
        </w:tc>
      </w:tr>
      <w:tr w:rsidR="00C85B8A" w:rsidRPr="00C85B8A">
        <w:trPr>
          <w:jc w:val="center"/>
        </w:trPr>
        <w:tc>
          <w:tcPr>
            <w:tcW w:w="461" w:type="pct"/>
          </w:tcPr>
          <w:p w:rsidR="00C85B8A" w:rsidRPr="00C85B8A" w:rsidRDefault="00C85B8A" w:rsidP="00C85B8A">
            <w:pPr>
              <w:pStyle w:val="Tabele"/>
              <w:widowControl w:val="0"/>
              <w:rPr>
                <w:rFonts w:eastAsia="MS Mincho"/>
                <w:sz w:val="18"/>
                <w:szCs w:val="18"/>
              </w:rPr>
            </w:pPr>
            <w:r w:rsidRPr="00C85B8A">
              <w:rPr>
                <w:rFonts w:eastAsia="MS Mincho"/>
                <w:sz w:val="18"/>
                <w:szCs w:val="18"/>
              </w:rPr>
              <w:t>4.</w:t>
            </w:r>
          </w:p>
        </w:tc>
        <w:tc>
          <w:tcPr>
            <w:tcW w:w="2872" w:type="pct"/>
          </w:tcPr>
          <w:p w:rsidR="00C85B8A" w:rsidRPr="00C85B8A" w:rsidRDefault="00C85B8A" w:rsidP="00C85B8A">
            <w:pPr>
              <w:pStyle w:val="Tabele"/>
              <w:widowControl w:val="0"/>
              <w:rPr>
                <w:rFonts w:eastAsia="MS Mincho"/>
                <w:sz w:val="18"/>
                <w:szCs w:val="18"/>
              </w:rPr>
            </w:pPr>
            <w:r w:rsidRPr="00C85B8A">
              <w:rPr>
                <w:rFonts w:eastAsia="MS Mincho"/>
                <w:sz w:val="18"/>
                <w:szCs w:val="18"/>
              </w:rPr>
              <w:t>Sipërfaqe ujore (lumenj, përrenj, rezervuarë, liqene natyrore)</w:t>
            </w:r>
          </w:p>
        </w:tc>
        <w:tc>
          <w:tcPr>
            <w:tcW w:w="1667" w:type="pct"/>
          </w:tcPr>
          <w:p w:rsidR="00C85B8A" w:rsidRPr="00C85B8A" w:rsidRDefault="00C85B8A" w:rsidP="00C85B8A">
            <w:pPr>
              <w:pStyle w:val="Tabele"/>
              <w:widowControl w:val="0"/>
              <w:rPr>
                <w:rFonts w:eastAsia="MS Mincho"/>
                <w:sz w:val="18"/>
                <w:szCs w:val="18"/>
              </w:rPr>
            </w:pPr>
            <w:r w:rsidRPr="00C85B8A">
              <w:rPr>
                <w:rFonts w:eastAsia="MS Mincho"/>
                <w:sz w:val="18"/>
                <w:szCs w:val="18"/>
              </w:rPr>
              <w:t>44,15</w:t>
            </w:r>
          </w:p>
        </w:tc>
      </w:tr>
      <w:tr w:rsidR="00C85B8A" w:rsidRPr="00C85B8A">
        <w:trPr>
          <w:jc w:val="center"/>
        </w:trPr>
        <w:tc>
          <w:tcPr>
            <w:tcW w:w="461" w:type="pct"/>
          </w:tcPr>
          <w:p w:rsidR="00C85B8A" w:rsidRPr="00C85B8A" w:rsidRDefault="00C85B8A" w:rsidP="00C85B8A">
            <w:pPr>
              <w:pStyle w:val="Tabele"/>
              <w:widowControl w:val="0"/>
              <w:rPr>
                <w:rFonts w:eastAsia="MS Mincho"/>
                <w:sz w:val="18"/>
                <w:szCs w:val="18"/>
              </w:rPr>
            </w:pPr>
            <w:r w:rsidRPr="00C85B8A">
              <w:rPr>
                <w:rFonts w:eastAsia="MS Mincho"/>
                <w:sz w:val="18"/>
                <w:szCs w:val="18"/>
              </w:rPr>
              <w:t>5.</w:t>
            </w:r>
          </w:p>
        </w:tc>
        <w:tc>
          <w:tcPr>
            <w:tcW w:w="2872" w:type="pct"/>
          </w:tcPr>
          <w:p w:rsidR="00C85B8A" w:rsidRPr="00C85B8A" w:rsidRDefault="00C85B8A" w:rsidP="00C85B8A">
            <w:pPr>
              <w:pStyle w:val="Tabele"/>
              <w:widowControl w:val="0"/>
              <w:rPr>
                <w:rFonts w:eastAsia="MS Mincho"/>
                <w:sz w:val="18"/>
                <w:szCs w:val="18"/>
              </w:rPr>
            </w:pPr>
            <w:r w:rsidRPr="00C85B8A">
              <w:rPr>
                <w:rFonts w:eastAsia="MS Mincho"/>
                <w:sz w:val="18"/>
                <w:szCs w:val="18"/>
              </w:rPr>
              <w:t>Sipërfaqe joprodhuese (shkëmbore, e zhveshur)</w:t>
            </w:r>
          </w:p>
        </w:tc>
        <w:tc>
          <w:tcPr>
            <w:tcW w:w="1667" w:type="pct"/>
          </w:tcPr>
          <w:p w:rsidR="00C85B8A" w:rsidRPr="00C85B8A" w:rsidRDefault="00C85B8A" w:rsidP="00C85B8A">
            <w:pPr>
              <w:pStyle w:val="Tabele"/>
              <w:widowControl w:val="0"/>
              <w:rPr>
                <w:rFonts w:eastAsia="MS Mincho"/>
                <w:sz w:val="18"/>
                <w:szCs w:val="18"/>
              </w:rPr>
            </w:pPr>
            <w:r w:rsidRPr="00C85B8A">
              <w:rPr>
                <w:rFonts w:eastAsia="MS Mincho"/>
                <w:sz w:val="18"/>
                <w:szCs w:val="18"/>
              </w:rPr>
              <w:t>617,48</w:t>
            </w:r>
          </w:p>
        </w:tc>
      </w:tr>
      <w:tr w:rsidR="00C85B8A" w:rsidRPr="00C85B8A">
        <w:trPr>
          <w:jc w:val="center"/>
        </w:trPr>
        <w:tc>
          <w:tcPr>
            <w:tcW w:w="461" w:type="pct"/>
          </w:tcPr>
          <w:p w:rsidR="00C85B8A" w:rsidRPr="00C85B8A" w:rsidRDefault="00C85B8A" w:rsidP="00C85B8A">
            <w:pPr>
              <w:pStyle w:val="Tabele"/>
              <w:widowControl w:val="0"/>
              <w:rPr>
                <w:rFonts w:eastAsia="MS Mincho"/>
                <w:sz w:val="18"/>
                <w:szCs w:val="18"/>
              </w:rPr>
            </w:pPr>
            <w:r w:rsidRPr="00C85B8A">
              <w:rPr>
                <w:rFonts w:eastAsia="MS Mincho"/>
                <w:sz w:val="18"/>
                <w:szCs w:val="18"/>
              </w:rPr>
              <w:t>6.</w:t>
            </w:r>
          </w:p>
        </w:tc>
        <w:tc>
          <w:tcPr>
            <w:tcW w:w="2872" w:type="pct"/>
          </w:tcPr>
          <w:p w:rsidR="00C85B8A" w:rsidRPr="00C85B8A" w:rsidRDefault="00C85B8A" w:rsidP="00C85B8A">
            <w:pPr>
              <w:pStyle w:val="Tabele"/>
              <w:widowControl w:val="0"/>
              <w:rPr>
                <w:rFonts w:eastAsia="MS Mincho"/>
                <w:sz w:val="18"/>
                <w:szCs w:val="18"/>
              </w:rPr>
            </w:pPr>
            <w:r w:rsidRPr="00C85B8A">
              <w:rPr>
                <w:rFonts w:eastAsia="MS Mincho"/>
                <w:sz w:val="18"/>
                <w:szCs w:val="18"/>
              </w:rPr>
              <w:t>Sipërfaqe urbane dhe troje të përzier me tokë bujqësore dhe pyjore</w:t>
            </w:r>
          </w:p>
        </w:tc>
        <w:tc>
          <w:tcPr>
            <w:tcW w:w="1667" w:type="pct"/>
          </w:tcPr>
          <w:p w:rsidR="00C85B8A" w:rsidRPr="00C85B8A" w:rsidRDefault="00C85B8A" w:rsidP="00C85B8A">
            <w:pPr>
              <w:pStyle w:val="Tabele"/>
              <w:widowControl w:val="0"/>
              <w:rPr>
                <w:rFonts w:eastAsia="MS Mincho"/>
                <w:sz w:val="18"/>
                <w:szCs w:val="18"/>
              </w:rPr>
            </w:pPr>
            <w:r w:rsidRPr="00C85B8A">
              <w:rPr>
                <w:rFonts w:eastAsia="MS Mincho"/>
                <w:sz w:val="18"/>
                <w:szCs w:val="18"/>
              </w:rPr>
              <w:t>138,64</w:t>
            </w:r>
          </w:p>
        </w:tc>
      </w:tr>
      <w:tr w:rsidR="00C85B8A" w:rsidRPr="00C85B8A">
        <w:trPr>
          <w:jc w:val="center"/>
        </w:trPr>
        <w:tc>
          <w:tcPr>
            <w:tcW w:w="461" w:type="pct"/>
          </w:tcPr>
          <w:p w:rsidR="00C85B8A" w:rsidRPr="00C85B8A" w:rsidRDefault="00C85B8A" w:rsidP="00C85B8A">
            <w:pPr>
              <w:pStyle w:val="Tabele"/>
              <w:widowControl w:val="0"/>
              <w:rPr>
                <w:rFonts w:eastAsia="MS Mincho"/>
                <w:sz w:val="18"/>
                <w:szCs w:val="18"/>
              </w:rPr>
            </w:pPr>
          </w:p>
        </w:tc>
        <w:tc>
          <w:tcPr>
            <w:tcW w:w="2872" w:type="pct"/>
          </w:tcPr>
          <w:p w:rsidR="00C85B8A" w:rsidRPr="00C85B8A" w:rsidRDefault="00C85B8A" w:rsidP="00C85B8A">
            <w:pPr>
              <w:pStyle w:val="Tabele"/>
              <w:widowControl w:val="0"/>
              <w:rPr>
                <w:rFonts w:eastAsia="MS Mincho"/>
                <w:sz w:val="18"/>
                <w:szCs w:val="18"/>
              </w:rPr>
            </w:pPr>
            <w:r w:rsidRPr="00C85B8A">
              <w:rPr>
                <w:rFonts w:eastAsia="MS Mincho"/>
                <w:sz w:val="18"/>
                <w:szCs w:val="18"/>
              </w:rPr>
              <w:t>Sipërfaqe e përgjithshme</w:t>
            </w:r>
          </w:p>
        </w:tc>
        <w:tc>
          <w:tcPr>
            <w:tcW w:w="1667" w:type="pct"/>
          </w:tcPr>
          <w:p w:rsidR="00C85B8A" w:rsidRPr="00C85B8A" w:rsidRDefault="00C85B8A" w:rsidP="00C85B8A">
            <w:pPr>
              <w:pStyle w:val="Tabele"/>
              <w:widowControl w:val="0"/>
              <w:rPr>
                <w:rFonts w:eastAsia="MS Mincho"/>
                <w:sz w:val="18"/>
                <w:szCs w:val="18"/>
              </w:rPr>
            </w:pPr>
            <w:r w:rsidRPr="00C85B8A">
              <w:rPr>
                <w:rFonts w:eastAsia="MS Mincho"/>
                <w:sz w:val="18"/>
                <w:szCs w:val="18"/>
              </w:rPr>
              <w:t>33 927,66 ha</w:t>
            </w:r>
          </w:p>
        </w:tc>
      </w:tr>
    </w:tbl>
    <w:p w:rsidR="00C85B8A" w:rsidRPr="00411E7E" w:rsidRDefault="00E3438F" w:rsidP="00C85B8A">
      <w:pPr>
        <w:pStyle w:val="Figure"/>
        <w:rPr>
          <w:rFonts w:eastAsia="MS Mincho"/>
          <w:sz w:val="21"/>
          <w:szCs w:val="21"/>
        </w:rPr>
      </w:pPr>
      <w:r w:rsidRPr="00411E7E">
        <w:rPr>
          <w:noProof/>
          <w:sz w:val="21"/>
          <w:szCs w:val="21"/>
          <w:lang w:val="en-GB" w:eastAsia="en-GB"/>
        </w:rPr>
        <w:lastRenderedPageBreak/>
        <w:drawing>
          <wp:inline distT="0" distB="0" distL="0" distR="0">
            <wp:extent cx="5753100" cy="81153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85B8A" w:rsidRPr="00411E7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85B8A"/>
    <w:rsid w:val="00155FB1"/>
    <w:rsid w:val="00C85B8A"/>
    <w:rsid w:val="00D60C8B"/>
    <w:rsid w:val="00E34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98ACEC5-8E0B-4BB6-B7B4-368D0458B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5B8A"/>
    <w:rPr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link w:val="TitulliChar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table" w:styleId="TableGrid">
    <w:name w:val="Table Grid"/>
    <w:basedOn w:val="TableNormal"/>
    <w:rsid w:val="00C85B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ulliChar">
    <w:name w:val="Titulli Char"/>
    <w:basedOn w:val="DefaultParagraphFont"/>
    <w:link w:val="Titulli"/>
    <w:rsid w:val="00C85B8A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C85B8A"/>
    <w:rPr>
      <w:rFonts w:ascii="CG Times" w:eastAsia="MS Mincho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874</Words>
  <Characters>4982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2019-03-16T19:00:00Z</dcterms:created>
  <dcterms:modified xsi:type="dcterms:W3CDTF">2019-03-16T19:00:00Z</dcterms:modified>
</cp:coreProperties>
</file>