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0C0" w:rsidRPr="00FC7224" w:rsidRDefault="00B110C0" w:rsidP="00B110C0">
      <w:pPr>
        <w:pStyle w:val="Akti"/>
        <w:keepNext w:val="0"/>
        <w:rPr>
          <w:lang w:val="sq-AL"/>
        </w:rPr>
      </w:pPr>
      <w:bookmarkStart w:id="0" w:name="_GoBack"/>
      <w:bookmarkEnd w:id="0"/>
      <w:r w:rsidRPr="00FC7224">
        <w:rPr>
          <w:lang w:val="sq-AL"/>
        </w:rPr>
        <w:t>Vendim</w:t>
      </w:r>
    </w:p>
    <w:p w:rsidR="00B110C0" w:rsidRPr="00FC7224" w:rsidRDefault="00B110C0" w:rsidP="00B110C0">
      <w:pPr>
        <w:pStyle w:val="NumriData"/>
        <w:keepNext w:val="0"/>
        <w:rPr>
          <w:lang w:val="sq-AL"/>
        </w:rPr>
      </w:pPr>
      <w:r>
        <w:rPr>
          <w:lang w:val="sq-AL"/>
        </w:rPr>
        <w:t>Nr.740, datë 28.5</w:t>
      </w:r>
      <w:r w:rsidRPr="00FC7224">
        <w:rPr>
          <w:lang w:val="sq-AL"/>
        </w:rPr>
        <w:t>.2008</w:t>
      </w:r>
    </w:p>
    <w:p w:rsidR="00B110C0" w:rsidRPr="00FC7224" w:rsidRDefault="00B110C0" w:rsidP="00B110C0">
      <w:pPr>
        <w:pStyle w:val="Paragrafi"/>
        <w:rPr>
          <w:lang w:val="sq-AL"/>
        </w:rPr>
      </w:pPr>
    </w:p>
    <w:p w:rsidR="00B110C0" w:rsidRPr="00FC7224" w:rsidRDefault="00B110C0" w:rsidP="00B110C0">
      <w:pPr>
        <w:pStyle w:val="Titulli"/>
        <w:keepNext w:val="0"/>
        <w:rPr>
          <w:lang w:val="sq-AL"/>
        </w:rPr>
      </w:pPr>
      <w:r w:rsidRPr="00FC7224">
        <w:rPr>
          <w:lang w:val="sq-AL"/>
        </w:rPr>
        <w:t>Për miratimin e listës përfundimtare të pronave, pyje dhe kullota, që do të transferohen në pronësi të njësisë së qeve</w:t>
      </w:r>
      <w:r>
        <w:rPr>
          <w:lang w:val="sq-AL"/>
        </w:rPr>
        <w:t>risjes vendore, komuna KUKUR, të qarkut të ELBASANIT</w:t>
      </w:r>
    </w:p>
    <w:p w:rsidR="00B110C0" w:rsidRPr="00FC7224" w:rsidRDefault="00B110C0" w:rsidP="00B110C0">
      <w:pPr>
        <w:pStyle w:val="Paragrafi"/>
        <w:rPr>
          <w:lang w:val="sq-AL"/>
        </w:rPr>
      </w:pPr>
    </w:p>
    <w:p w:rsidR="00B110C0" w:rsidRPr="00FC7224" w:rsidRDefault="00B110C0" w:rsidP="00B110C0">
      <w:pPr>
        <w:pStyle w:val="BazLigjPropozues"/>
        <w:keepNext w:val="0"/>
        <w:rPr>
          <w:lang w:val="sq-AL"/>
        </w:rPr>
      </w:pPr>
      <w:r w:rsidRPr="00FC7224">
        <w:rPr>
          <w:lang w:val="sq-AL"/>
        </w:rPr>
        <w:t>Në mbështetje të nenit 100 të Kushtetutës, të neneve 2,</w:t>
      </w:r>
      <w:r>
        <w:rPr>
          <w:lang w:val="sq-AL"/>
        </w:rPr>
        <w:t xml:space="preserve"> </w:t>
      </w:r>
      <w:r w:rsidRPr="00FC7224">
        <w:rPr>
          <w:lang w:val="sq-AL"/>
        </w:rPr>
        <w:t>3 e 17 të ligjit nr.8744, datë 22.2.2001 “Për transferimin e pronave të paluajtshme publike të shtetit në njësitë e qeverisjes vendore”, të ndryshuar, dhe të nenit 23 të ligjit nr.9385, datë 4.5.2005 “Për pyjet dhe shërbimin pyjor”, të ndryshuar, me propozimin e Ministrit të Mjedisit, Pyjeve dhe Administrimit të Ujërave dhe të Ministrit të Brendshëm, Këshilli i Ministrave</w:t>
      </w:r>
    </w:p>
    <w:p w:rsidR="00B110C0" w:rsidRPr="00FC7224" w:rsidRDefault="00B110C0" w:rsidP="00B110C0">
      <w:pPr>
        <w:pStyle w:val="Paragrafi"/>
        <w:rPr>
          <w:lang w:val="sq-AL"/>
        </w:rPr>
      </w:pPr>
    </w:p>
    <w:p w:rsidR="00B110C0" w:rsidRPr="00FC7224" w:rsidRDefault="00B110C0" w:rsidP="00B110C0">
      <w:pPr>
        <w:pStyle w:val="VENDOSI"/>
        <w:keepNext w:val="0"/>
        <w:rPr>
          <w:lang w:val="sq-AL"/>
        </w:rPr>
      </w:pPr>
      <w:r w:rsidRPr="00FC7224">
        <w:rPr>
          <w:lang w:val="sq-AL"/>
        </w:rPr>
        <w:t>Vendosi:</w:t>
      </w:r>
    </w:p>
    <w:p w:rsidR="00B110C0" w:rsidRPr="00FC7224" w:rsidRDefault="00B110C0" w:rsidP="00B110C0">
      <w:pPr>
        <w:pStyle w:val="Paragrafi"/>
        <w:rPr>
          <w:lang w:val="sq-AL"/>
        </w:rPr>
      </w:pPr>
    </w:p>
    <w:p w:rsidR="00B110C0" w:rsidRPr="00FC7224" w:rsidRDefault="00B110C0" w:rsidP="00B110C0">
      <w:pPr>
        <w:pStyle w:val="Paragrafi"/>
        <w:rPr>
          <w:lang w:val="sq-AL"/>
        </w:rPr>
      </w:pPr>
      <w:r w:rsidRPr="00FC7224">
        <w:rPr>
          <w:lang w:val="sq-AL"/>
        </w:rPr>
        <w:t>1. Miratimin e listës përfundimtare të pronave të paluajtshme publike, pyje dhe kullota, që janë në juridiksionin territ</w:t>
      </w:r>
      <w:r>
        <w:rPr>
          <w:lang w:val="sq-AL"/>
        </w:rPr>
        <w:t>orial dhe administrativ</w:t>
      </w:r>
      <w:r w:rsidRPr="00FC7224">
        <w:rPr>
          <w:lang w:val="sq-AL"/>
        </w:rPr>
        <w:t xml:space="preserve"> të njësisë së qeve</w:t>
      </w:r>
      <w:r>
        <w:rPr>
          <w:lang w:val="sq-AL"/>
        </w:rPr>
        <w:t>risjes vendore, komuna Kukur, të qarkut të Elbasanit</w:t>
      </w:r>
      <w:r w:rsidRPr="00FC7224">
        <w:rPr>
          <w:lang w:val="sq-AL"/>
        </w:rPr>
        <w:t>, që do t’i transferohen në pronësi kësaj njësie.</w:t>
      </w:r>
    </w:p>
    <w:p w:rsidR="00B110C0" w:rsidRPr="00FC7224" w:rsidRDefault="00B110C0" w:rsidP="00B110C0">
      <w:pPr>
        <w:pStyle w:val="Paragrafi"/>
        <w:rPr>
          <w:lang w:val="sq-AL"/>
        </w:rPr>
      </w:pPr>
      <w:r w:rsidRPr="00FC7224">
        <w:rPr>
          <w:lang w:val="sq-AL"/>
        </w:rPr>
        <w:t>2. Lista përfundimtare e pronave të paluajtsh</w:t>
      </w:r>
      <w:r>
        <w:rPr>
          <w:lang w:val="sq-AL"/>
        </w:rPr>
        <w:t>me, pyje dhe kullota, me 3 (tri</w:t>
      </w:r>
      <w:r w:rsidRPr="00FC7224">
        <w:rPr>
          <w:lang w:val="sq-AL"/>
        </w:rPr>
        <w:t>) fletë, q</w:t>
      </w:r>
      <w:r>
        <w:rPr>
          <w:lang w:val="sq-AL"/>
        </w:rPr>
        <w:t>ë përfundon me numrin rendor 108</w:t>
      </w:r>
      <w:r w:rsidRPr="00FC7224">
        <w:rPr>
          <w:lang w:val="sq-AL"/>
        </w:rPr>
        <w:t xml:space="preserve"> </w:t>
      </w:r>
      <w:r>
        <w:rPr>
          <w:lang w:val="sq-AL"/>
        </w:rPr>
        <w:t>(njëqind e tetë</w:t>
      </w:r>
      <w:r w:rsidRPr="00FC7224">
        <w:rPr>
          <w:lang w:val="sq-AL"/>
        </w:rPr>
        <w:t xml:space="preserve">), dhe lidhja </w:t>
      </w:r>
      <w:r>
        <w:rPr>
          <w:lang w:val="sq-AL"/>
        </w:rPr>
        <w:t>nr.</w:t>
      </w:r>
      <w:r w:rsidRPr="00FC7224">
        <w:rPr>
          <w:lang w:val="sq-AL"/>
        </w:rPr>
        <w:t>1 i bashkëlidhen këtij vendimi dhe janë pjesë përbërëse e tij.</w:t>
      </w:r>
    </w:p>
    <w:p w:rsidR="00B110C0" w:rsidRPr="00FC7224" w:rsidRDefault="00B110C0" w:rsidP="00B110C0">
      <w:pPr>
        <w:pStyle w:val="Paragrafi"/>
        <w:rPr>
          <w:lang w:val="sq-AL"/>
        </w:rPr>
      </w:pPr>
      <w:r w:rsidRPr="00FC7224">
        <w:rPr>
          <w:lang w:val="sq-AL"/>
        </w:rPr>
        <w:t>3. Ngarkohen Ministria e Brendshme, Ministria e Mjedisit, Pyjeve dhe Administrimit të Ujërave, kryeregjistruesi i Pasurive të Paluajtshme të Republikës s</w:t>
      </w:r>
      <w:r>
        <w:rPr>
          <w:lang w:val="sq-AL"/>
        </w:rPr>
        <w:t>ë Shqipërisë dhe komuna Kukur</w:t>
      </w:r>
      <w:r w:rsidRPr="00FC7224">
        <w:rPr>
          <w:lang w:val="sq-AL"/>
        </w:rPr>
        <w:t xml:space="preserve"> për zbatimin e këtij vendimi.</w:t>
      </w:r>
    </w:p>
    <w:p w:rsidR="00B110C0" w:rsidRPr="00FC7224" w:rsidRDefault="00B110C0" w:rsidP="00B110C0">
      <w:pPr>
        <w:pStyle w:val="Paragrafi"/>
        <w:rPr>
          <w:lang w:val="sq-AL"/>
        </w:rPr>
      </w:pPr>
      <w:r w:rsidRPr="00FC7224">
        <w:rPr>
          <w:lang w:val="sq-AL"/>
        </w:rPr>
        <w:t>Ky vendim hyn në fuqi pas botimit në Fletoren Zyrtare.</w:t>
      </w:r>
    </w:p>
    <w:p w:rsidR="00B110C0" w:rsidRPr="00FC7224" w:rsidRDefault="00B110C0" w:rsidP="00B110C0">
      <w:pPr>
        <w:pStyle w:val="Paragrafi"/>
        <w:rPr>
          <w:lang w:val="sq-AL"/>
        </w:rPr>
      </w:pPr>
    </w:p>
    <w:p w:rsidR="00B110C0" w:rsidRPr="00FC7224" w:rsidRDefault="00B110C0" w:rsidP="00B110C0">
      <w:pPr>
        <w:pStyle w:val="Autoriteti"/>
        <w:keepNext w:val="0"/>
        <w:rPr>
          <w:lang w:val="sq-AL"/>
        </w:rPr>
      </w:pPr>
      <w:r w:rsidRPr="00FC7224">
        <w:rPr>
          <w:lang w:val="sq-AL"/>
        </w:rPr>
        <w:t>Kryeministri</w:t>
      </w:r>
    </w:p>
    <w:p w:rsidR="00B110C0" w:rsidRPr="00FC7224" w:rsidRDefault="00B110C0" w:rsidP="00B110C0">
      <w:pPr>
        <w:pStyle w:val="AutoritetiEmer"/>
        <w:rPr>
          <w:lang w:val="sq-AL"/>
        </w:rPr>
      </w:pPr>
      <w:r w:rsidRPr="00FC7224">
        <w:rPr>
          <w:lang w:val="sq-AL"/>
        </w:rPr>
        <w:t>Sali Berisha</w:t>
      </w:r>
    </w:p>
    <w:p w:rsidR="00B110C0" w:rsidRDefault="00B110C0" w:rsidP="00B110C0">
      <w:pPr>
        <w:pStyle w:val="Paragrafi"/>
      </w:pPr>
    </w:p>
    <w:p w:rsidR="00B110C0" w:rsidRDefault="00B110C0" w:rsidP="00B110C0">
      <w:pPr>
        <w:pStyle w:val="Paragrafi"/>
      </w:pPr>
    </w:p>
    <w:p w:rsidR="00B110C0" w:rsidRDefault="00B110C0" w:rsidP="00B110C0">
      <w:pPr>
        <w:pStyle w:val="Paragrafi"/>
      </w:pPr>
    </w:p>
    <w:p w:rsidR="00B110C0" w:rsidRDefault="00B110C0" w:rsidP="00B110C0">
      <w:pPr>
        <w:pStyle w:val="Paragrafi"/>
      </w:pPr>
    </w:p>
    <w:p w:rsidR="00B110C0" w:rsidRDefault="00B110C0" w:rsidP="00B110C0">
      <w:pPr>
        <w:pStyle w:val="Paragrafi"/>
      </w:pPr>
    </w:p>
    <w:p w:rsidR="00B110C0" w:rsidRDefault="00B110C0" w:rsidP="00B110C0">
      <w:pPr>
        <w:pStyle w:val="Paragrafi"/>
      </w:pPr>
    </w:p>
    <w:p w:rsidR="00B110C0" w:rsidRDefault="00B110C0" w:rsidP="00B110C0">
      <w:pPr>
        <w:pStyle w:val="Paragrafi"/>
      </w:pPr>
    </w:p>
    <w:p w:rsidR="00B110C0" w:rsidRDefault="00B110C0" w:rsidP="00B110C0">
      <w:pPr>
        <w:pStyle w:val="Paragrafi"/>
      </w:pPr>
    </w:p>
    <w:p w:rsidR="00B110C0" w:rsidRDefault="00B110C0" w:rsidP="00B110C0">
      <w:pPr>
        <w:pStyle w:val="Paragrafi"/>
      </w:pPr>
    </w:p>
    <w:p w:rsidR="00B110C0" w:rsidRDefault="00B110C0" w:rsidP="00B110C0">
      <w:pPr>
        <w:pStyle w:val="Paragrafi"/>
      </w:pPr>
    </w:p>
    <w:p w:rsidR="00B110C0" w:rsidRDefault="00B110C0" w:rsidP="00B110C0">
      <w:pPr>
        <w:pStyle w:val="Paragrafi"/>
      </w:pPr>
    </w:p>
    <w:p w:rsidR="00B110C0" w:rsidRDefault="0076414E" w:rsidP="00B110C0">
      <w:pPr>
        <w:pStyle w:val="Paragrafi"/>
      </w:pPr>
      <w:r w:rsidRPr="001E473B">
        <w:rPr>
          <w:noProof/>
          <w:lang w:val="en-GB" w:eastAsia="en-GB"/>
        </w:rPr>
        <w:lastRenderedPageBreak/>
        <w:drawing>
          <wp:inline distT="0" distB="0" distL="0" distR="0">
            <wp:extent cx="5753100" cy="8201025"/>
            <wp:effectExtent l="0" t="0" r="0" b="9525"/>
            <wp:docPr id="1" name="Picture 1" descr="vendim 740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ndim 740-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0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0C0" w:rsidRDefault="00B110C0" w:rsidP="00B110C0">
      <w:pPr>
        <w:pStyle w:val="Figure"/>
      </w:pPr>
    </w:p>
    <w:p w:rsidR="00B110C0" w:rsidRDefault="00B110C0" w:rsidP="00B110C0">
      <w:pPr>
        <w:pStyle w:val="Figure"/>
      </w:pPr>
    </w:p>
    <w:p w:rsidR="00B110C0" w:rsidRDefault="00B110C0" w:rsidP="00B110C0">
      <w:pPr>
        <w:pStyle w:val="Figure"/>
      </w:pPr>
    </w:p>
    <w:p w:rsidR="00B110C0" w:rsidRDefault="00B110C0" w:rsidP="00B110C0">
      <w:pPr>
        <w:pStyle w:val="Figure"/>
      </w:pPr>
    </w:p>
    <w:p w:rsidR="00B110C0" w:rsidRDefault="00B110C0" w:rsidP="00B110C0">
      <w:pPr>
        <w:pStyle w:val="Figure"/>
      </w:pPr>
    </w:p>
    <w:p w:rsidR="00B110C0" w:rsidRDefault="0076414E" w:rsidP="00B110C0">
      <w:pPr>
        <w:pStyle w:val="Figure"/>
      </w:pPr>
      <w:r w:rsidRPr="001E473B">
        <w:rPr>
          <w:noProof/>
          <w:lang w:val="en-GB" w:eastAsia="en-GB"/>
        </w:rPr>
        <w:drawing>
          <wp:inline distT="0" distB="0" distL="0" distR="0">
            <wp:extent cx="5753100" cy="8105775"/>
            <wp:effectExtent l="0" t="0" r="0" b="9525"/>
            <wp:docPr id="2" name="Picture 2" descr="ta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b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0C0" w:rsidRDefault="00B110C0" w:rsidP="00B110C0">
      <w:pPr>
        <w:pStyle w:val="Figure"/>
      </w:pPr>
    </w:p>
    <w:p w:rsidR="00B110C0" w:rsidRDefault="00B110C0" w:rsidP="00B110C0">
      <w:pPr>
        <w:pStyle w:val="Figure"/>
      </w:pPr>
    </w:p>
    <w:p w:rsidR="00B110C0" w:rsidRDefault="00B110C0" w:rsidP="00B110C0">
      <w:pPr>
        <w:pStyle w:val="Figure"/>
      </w:pPr>
    </w:p>
    <w:p w:rsidR="00B110C0" w:rsidRPr="001E473B" w:rsidRDefault="0076414E" w:rsidP="00B110C0">
      <w:pPr>
        <w:pStyle w:val="Figure"/>
      </w:pPr>
      <w:r w:rsidRPr="001E473B">
        <w:rPr>
          <w:noProof/>
          <w:lang w:val="en-GB" w:eastAsia="en-GB"/>
        </w:rPr>
        <w:drawing>
          <wp:inline distT="0" distB="0" distL="0" distR="0">
            <wp:extent cx="5410200" cy="8572500"/>
            <wp:effectExtent l="0" t="0" r="0" b="0"/>
            <wp:docPr id="3" name="Picture 3" descr="ta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ab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0C0" w:rsidRDefault="00B110C0" w:rsidP="00B110C0">
      <w:pPr>
        <w:pStyle w:val="Akti"/>
        <w:keepNext w:val="0"/>
        <w:jc w:val="both"/>
        <w:rPr>
          <w:lang w:val="sq-AL"/>
        </w:rPr>
      </w:pPr>
    </w:p>
    <w:p w:rsidR="00B110C0" w:rsidRPr="0038159C" w:rsidRDefault="00B110C0" w:rsidP="00B110C0">
      <w:pPr>
        <w:pStyle w:val="Paragrafi"/>
        <w:rPr>
          <w:lang w:val="it-IT"/>
        </w:rPr>
      </w:pPr>
      <w:r w:rsidRPr="0038159C">
        <w:rPr>
          <w:lang w:val="it-IT"/>
        </w:rPr>
        <w:t xml:space="preserve">Njësia e qeverisjes vendore: komuna </w:t>
      </w:r>
      <w:r w:rsidRPr="00B110C0">
        <w:rPr>
          <w:b/>
          <w:lang w:val="it-IT"/>
        </w:rPr>
        <w:t>Kukur</w:t>
      </w:r>
    </w:p>
    <w:p w:rsidR="00B110C0" w:rsidRPr="0038159C" w:rsidRDefault="00B110C0" w:rsidP="00B110C0">
      <w:pPr>
        <w:pStyle w:val="Paragrafi"/>
        <w:rPr>
          <w:lang w:val="it-IT"/>
        </w:rPr>
      </w:pPr>
    </w:p>
    <w:tbl>
      <w:tblPr>
        <w:tblStyle w:val="KapitulliNr"/>
        <w:tblW w:w="0" w:type="auto"/>
        <w:tblInd w:w="1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1"/>
        <w:gridCol w:w="3060"/>
        <w:gridCol w:w="1978"/>
      </w:tblGrid>
      <w:tr w:rsidR="00B110C0" w:rsidRPr="00B110C0">
        <w:tc>
          <w:tcPr>
            <w:tcW w:w="2831" w:type="dxa"/>
          </w:tcPr>
          <w:p w:rsidR="00B110C0" w:rsidRPr="00B110C0" w:rsidRDefault="00B110C0" w:rsidP="00B110C0">
            <w:pPr>
              <w:pStyle w:val="Tabele"/>
              <w:rPr>
                <w:b/>
                <w:lang w:val="it-IT"/>
              </w:rPr>
            </w:pPr>
            <w:r w:rsidRPr="00B110C0">
              <w:rPr>
                <w:b/>
                <w:caps w:val="0"/>
                <w:lang w:val="it-IT"/>
              </w:rPr>
              <w:t>Numrat rendorë të pronave në listën e inventarit</w:t>
            </w:r>
          </w:p>
        </w:tc>
        <w:tc>
          <w:tcPr>
            <w:tcW w:w="3060" w:type="dxa"/>
          </w:tcPr>
          <w:p w:rsidR="00B110C0" w:rsidRPr="00B110C0" w:rsidRDefault="00B110C0" w:rsidP="00B110C0">
            <w:pPr>
              <w:pStyle w:val="Tabele"/>
              <w:rPr>
                <w:b/>
                <w:lang w:val="it-IT"/>
              </w:rPr>
            </w:pPr>
            <w:r w:rsidRPr="00B110C0">
              <w:rPr>
                <w:b/>
                <w:caps w:val="0"/>
                <w:lang w:val="it-IT"/>
              </w:rPr>
              <w:t>Fusha e përdorimit të pronës</w:t>
            </w:r>
          </w:p>
        </w:tc>
        <w:tc>
          <w:tcPr>
            <w:tcW w:w="1978" w:type="dxa"/>
          </w:tcPr>
          <w:p w:rsidR="00B110C0" w:rsidRPr="00B110C0" w:rsidRDefault="00B110C0" w:rsidP="00B110C0">
            <w:pPr>
              <w:pStyle w:val="Tabele"/>
              <w:rPr>
                <w:b/>
              </w:rPr>
            </w:pPr>
            <w:r w:rsidRPr="00B110C0">
              <w:rPr>
                <w:b/>
                <w:caps w:val="0"/>
              </w:rPr>
              <w:t>Lloji i transferimit</w:t>
            </w:r>
          </w:p>
        </w:tc>
      </w:tr>
      <w:tr w:rsidR="00B110C0">
        <w:tc>
          <w:tcPr>
            <w:tcW w:w="2831" w:type="dxa"/>
          </w:tcPr>
          <w:p w:rsidR="00B110C0" w:rsidRDefault="00B110C0" w:rsidP="00B110C0">
            <w:pPr>
              <w:pStyle w:val="Tabele"/>
            </w:pPr>
            <w:r>
              <w:rPr>
                <w:caps w:val="0"/>
              </w:rPr>
              <w:t>194-238; 241-303</w:t>
            </w:r>
          </w:p>
        </w:tc>
        <w:tc>
          <w:tcPr>
            <w:tcW w:w="3060" w:type="dxa"/>
          </w:tcPr>
          <w:p w:rsidR="00B110C0" w:rsidRDefault="00B110C0" w:rsidP="00B110C0">
            <w:pPr>
              <w:pStyle w:val="Tabele"/>
            </w:pPr>
            <w:r>
              <w:rPr>
                <w:caps w:val="0"/>
              </w:rPr>
              <w:t>Pyje, kullota të tjera</w:t>
            </w:r>
          </w:p>
        </w:tc>
        <w:tc>
          <w:tcPr>
            <w:tcW w:w="1978" w:type="dxa"/>
          </w:tcPr>
          <w:p w:rsidR="00B110C0" w:rsidRDefault="00B110C0" w:rsidP="00B110C0">
            <w:pPr>
              <w:pStyle w:val="Tabele"/>
            </w:pPr>
            <w:r>
              <w:rPr>
                <w:caps w:val="0"/>
              </w:rPr>
              <w:t>Në pronësi</w:t>
            </w:r>
          </w:p>
        </w:tc>
      </w:tr>
      <w:tr w:rsidR="00B110C0">
        <w:tc>
          <w:tcPr>
            <w:tcW w:w="2831" w:type="dxa"/>
          </w:tcPr>
          <w:p w:rsidR="00B110C0" w:rsidRDefault="00B110C0" w:rsidP="00B110C0">
            <w:pPr>
              <w:pStyle w:val="Tabele"/>
            </w:pPr>
          </w:p>
        </w:tc>
        <w:tc>
          <w:tcPr>
            <w:tcW w:w="3060" w:type="dxa"/>
          </w:tcPr>
          <w:p w:rsidR="00B110C0" w:rsidRDefault="00B110C0" w:rsidP="00B110C0">
            <w:pPr>
              <w:pStyle w:val="Tabele"/>
            </w:pPr>
          </w:p>
        </w:tc>
        <w:tc>
          <w:tcPr>
            <w:tcW w:w="1978" w:type="dxa"/>
          </w:tcPr>
          <w:p w:rsidR="00B110C0" w:rsidRDefault="00B110C0" w:rsidP="00B110C0">
            <w:pPr>
              <w:pStyle w:val="Tabele"/>
            </w:pPr>
          </w:p>
        </w:tc>
      </w:tr>
      <w:tr w:rsidR="00B110C0">
        <w:tc>
          <w:tcPr>
            <w:tcW w:w="2831" w:type="dxa"/>
          </w:tcPr>
          <w:p w:rsidR="00B110C0" w:rsidRDefault="00B110C0" w:rsidP="00B110C0">
            <w:pPr>
              <w:pStyle w:val="Tabele"/>
            </w:pPr>
          </w:p>
        </w:tc>
        <w:tc>
          <w:tcPr>
            <w:tcW w:w="3060" w:type="dxa"/>
          </w:tcPr>
          <w:p w:rsidR="00B110C0" w:rsidRDefault="00B110C0" w:rsidP="00B110C0">
            <w:pPr>
              <w:pStyle w:val="Tabele"/>
            </w:pPr>
          </w:p>
        </w:tc>
        <w:tc>
          <w:tcPr>
            <w:tcW w:w="1978" w:type="dxa"/>
          </w:tcPr>
          <w:p w:rsidR="00B110C0" w:rsidRDefault="00B110C0" w:rsidP="00B110C0">
            <w:pPr>
              <w:pStyle w:val="Tabele"/>
            </w:pPr>
          </w:p>
        </w:tc>
      </w:tr>
      <w:tr w:rsidR="00B110C0">
        <w:tc>
          <w:tcPr>
            <w:tcW w:w="2831" w:type="dxa"/>
          </w:tcPr>
          <w:p w:rsidR="00B110C0" w:rsidRDefault="00B110C0" w:rsidP="00B110C0">
            <w:pPr>
              <w:pStyle w:val="Tabele"/>
            </w:pPr>
          </w:p>
        </w:tc>
        <w:tc>
          <w:tcPr>
            <w:tcW w:w="3060" w:type="dxa"/>
          </w:tcPr>
          <w:p w:rsidR="00B110C0" w:rsidRDefault="00B110C0" w:rsidP="00B110C0">
            <w:pPr>
              <w:pStyle w:val="Tabele"/>
            </w:pPr>
          </w:p>
        </w:tc>
        <w:tc>
          <w:tcPr>
            <w:tcW w:w="1978" w:type="dxa"/>
          </w:tcPr>
          <w:p w:rsidR="00B110C0" w:rsidRDefault="00B110C0" w:rsidP="00B110C0">
            <w:pPr>
              <w:pStyle w:val="Tabele"/>
            </w:pPr>
          </w:p>
        </w:tc>
      </w:tr>
      <w:tr w:rsidR="00B110C0">
        <w:tc>
          <w:tcPr>
            <w:tcW w:w="2831" w:type="dxa"/>
          </w:tcPr>
          <w:p w:rsidR="00B110C0" w:rsidRDefault="00B110C0" w:rsidP="00B110C0">
            <w:pPr>
              <w:pStyle w:val="Tabele"/>
            </w:pPr>
          </w:p>
        </w:tc>
        <w:tc>
          <w:tcPr>
            <w:tcW w:w="3060" w:type="dxa"/>
          </w:tcPr>
          <w:p w:rsidR="00B110C0" w:rsidRDefault="00B110C0" w:rsidP="00B110C0">
            <w:pPr>
              <w:pStyle w:val="Tabele"/>
            </w:pPr>
          </w:p>
        </w:tc>
        <w:tc>
          <w:tcPr>
            <w:tcW w:w="1978" w:type="dxa"/>
          </w:tcPr>
          <w:p w:rsidR="00B110C0" w:rsidRDefault="00B110C0" w:rsidP="00B110C0">
            <w:pPr>
              <w:pStyle w:val="Tabele"/>
            </w:pPr>
          </w:p>
        </w:tc>
      </w:tr>
      <w:tr w:rsidR="00B110C0">
        <w:tc>
          <w:tcPr>
            <w:tcW w:w="2831" w:type="dxa"/>
          </w:tcPr>
          <w:p w:rsidR="00B110C0" w:rsidRDefault="00B110C0" w:rsidP="00B110C0">
            <w:pPr>
              <w:pStyle w:val="Tabele"/>
            </w:pPr>
          </w:p>
        </w:tc>
        <w:tc>
          <w:tcPr>
            <w:tcW w:w="3060" w:type="dxa"/>
          </w:tcPr>
          <w:p w:rsidR="00B110C0" w:rsidRDefault="00B110C0" w:rsidP="00B110C0">
            <w:pPr>
              <w:pStyle w:val="Tabele"/>
            </w:pPr>
          </w:p>
        </w:tc>
        <w:tc>
          <w:tcPr>
            <w:tcW w:w="1978" w:type="dxa"/>
          </w:tcPr>
          <w:p w:rsidR="00B110C0" w:rsidRDefault="00B110C0" w:rsidP="00B110C0">
            <w:pPr>
              <w:pStyle w:val="Tabele"/>
            </w:pPr>
          </w:p>
        </w:tc>
      </w:tr>
    </w:tbl>
    <w:p w:rsidR="00B110C0" w:rsidRPr="0038159C" w:rsidRDefault="00B110C0" w:rsidP="00B110C0">
      <w:pPr>
        <w:pStyle w:val="Paragrafi"/>
      </w:pPr>
    </w:p>
    <w:p w:rsidR="00B110C0" w:rsidRDefault="00B110C0" w:rsidP="00B110C0">
      <w:pPr>
        <w:pStyle w:val="Akti"/>
        <w:keepNext w:val="0"/>
        <w:jc w:val="left"/>
        <w:rPr>
          <w:lang w:val="sq-AL"/>
        </w:rPr>
      </w:pPr>
    </w:p>
    <w:p w:rsidR="000178C2" w:rsidRPr="00C84B66" w:rsidRDefault="000178C2">
      <w:pPr>
        <w:rPr>
          <w:rFonts w:ascii="CG Times" w:hAnsi="CG Times"/>
          <w:sz w:val="22"/>
          <w:szCs w:val="22"/>
        </w:rPr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A4491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pStyle w:val="hyrje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110C0"/>
    <w:rsid w:val="000178C2"/>
    <w:rsid w:val="000A780A"/>
    <w:rsid w:val="00143799"/>
    <w:rsid w:val="00211EE2"/>
    <w:rsid w:val="00215567"/>
    <w:rsid w:val="002B089D"/>
    <w:rsid w:val="00300F6E"/>
    <w:rsid w:val="003218C2"/>
    <w:rsid w:val="003540BF"/>
    <w:rsid w:val="003B3DD8"/>
    <w:rsid w:val="004C3478"/>
    <w:rsid w:val="004E15C6"/>
    <w:rsid w:val="00505A2E"/>
    <w:rsid w:val="005C7CDE"/>
    <w:rsid w:val="00626521"/>
    <w:rsid w:val="0076414E"/>
    <w:rsid w:val="009723D5"/>
    <w:rsid w:val="009B365E"/>
    <w:rsid w:val="009C7562"/>
    <w:rsid w:val="00B110C0"/>
    <w:rsid w:val="00BD1D25"/>
    <w:rsid w:val="00BF58DD"/>
    <w:rsid w:val="00C24C1C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24EE747-6958-4FE2-AE4F-1F582CBFE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10C0"/>
    <w:rPr>
      <w:sz w:val="24"/>
      <w:szCs w:val="24"/>
    </w:rPr>
  </w:style>
  <w:style w:type="paragraph" w:styleId="Heading1">
    <w:name w:val="heading 1"/>
    <w:aliases w:val=" Carattere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semiHidden/>
    <w:rsid w:val="00300F6E"/>
    <w:rPr>
      <w:rFonts w:ascii="Tahoma" w:eastAsia="MS Mincho" w:hAnsi="Tahoma"/>
      <w:lang w:val="en-GB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215567"/>
  </w:style>
  <w:style w:type="paragraph" w:customStyle="1" w:styleId="Akti">
    <w:name w:val="Akti"/>
    <w:rsid w:val="00300F6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300F6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300F6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300F6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300F6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300F6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300F6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300F6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300F6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300F6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300F6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300F6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300F6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300F6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300F6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300F6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300F6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300F6E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300F6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300F6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300F6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300F6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300F6E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</w:rPr>
  </w:style>
  <w:style w:type="character" w:customStyle="1" w:styleId="AutoritetiEmerCharChar">
    <w:name w:val="Autoriteti_Emer Char Char"/>
    <w:basedOn w:val="DefaultParagraphFont"/>
    <w:rsid w:val="00300F6E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300F6E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</w:rPr>
  </w:style>
  <w:style w:type="paragraph" w:customStyle="1" w:styleId="bcparaa">
    <w:name w:val="bc para (a)"/>
    <w:basedOn w:val="Normal"/>
    <w:rsid w:val="00300F6E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300F6E"/>
    <w:pPr>
      <w:widowControl w:val="0"/>
      <w:spacing w:after="720"/>
      <w:ind w:left="1134"/>
      <w:jc w:val="both"/>
    </w:pPr>
    <w:rPr>
      <w:rFonts w:ascii="Arial" w:hAnsi="Arial"/>
      <w:sz w:val="20"/>
      <w:szCs w:val="20"/>
    </w:rPr>
  </w:style>
  <w:style w:type="paragraph" w:customStyle="1" w:styleId="bcverylastparaa">
    <w:name w:val="bc very last para (a)"/>
    <w:basedOn w:val="Normal"/>
    <w:rsid w:val="00300F6E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</w:rPr>
  </w:style>
  <w:style w:type="paragraph" w:styleId="BlockText">
    <w:name w:val="Block Text"/>
    <w:basedOn w:val="Normal"/>
    <w:rsid w:val="000A780A"/>
    <w:pPr>
      <w:widowControl w:val="0"/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</w:rPr>
  </w:style>
  <w:style w:type="paragraph" w:styleId="BodyText2">
    <w:name w:val="Body Text 2"/>
    <w:basedOn w:val="Normal"/>
    <w:rsid w:val="000A780A"/>
    <w:pPr>
      <w:spacing w:after="120" w:line="480" w:lineRule="auto"/>
    </w:pPr>
    <w:rPr>
      <w:rFonts w:ascii="Arial" w:hAnsi="Arial"/>
      <w:szCs w:val="20"/>
    </w:rPr>
  </w:style>
  <w:style w:type="paragraph" w:styleId="BodyTextIndent">
    <w:name w:val="Body Text Indent"/>
    <w:basedOn w:val="Normal"/>
    <w:rsid w:val="000A780A"/>
    <w:pPr>
      <w:ind w:left="1077"/>
    </w:pPr>
  </w:style>
  <w:style w:type="paragraph" w:styleId="BodyTextIndent2">
    <w:name w:val="Body Text Indent 2"/>
    <w:basedOn w:val="Normal"/>
    <w:rsid w:val="000A780A"/>
    <w:pPr>
      <w:spacing w:after="120" w:line="480" w:lineRule="auto"/>
      <w:ind w:left="360"/>
    </w:pPr>
    <w:rPr>
      <w:rFonts w:ascii="Arial" w:hAnsi="Arial"/>
      <w:szCs w:val="20"/>
    </w:rPr>
  </w:style>
  <w:style w:type="paragraph" w:styleId="BodyTextIndent3">
    <w:name w:val="Body Text Indent 3"/>
    <w:basedOn w:val="Normal"/>
    <w:rsid w:val="000A780A"/>
    <w:pPr>
      <w:spacing w:after="120"/>
      <w:ind w:left="360"/>
    </w:pPr>
    <w:rPr>
      <w:rFonts w:ascii="Arial" w:hAnsi="Arial"/>
      <w:sz w:val="16"/>
      <w:szCs w:val="16"/>
    </w:rPr>
  </w:style>
  <w:style w:type="paragraph" w:styleId="BodyText">
    <w:name w:val="Body Text"/>
    <w:aliases w:val="uvlaka 2"/>
    <w:basedOn w:val="Normal"/>
    <w:rsid w:val="000A780A"/>
    <w:pPr>
      <w:spacing w:after="120"/>
    </w:pPr>
  </w:style>
  <w:style w:type="paragraph" w:customStyle="1" w:styleId="extraclauses">
    <w:name w:val="extra_clauses"/>
    <w:basedOn w:val="Normal"/>
    <w:rsid w:val="00300F6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300F6E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semiHidden/>
    <w:rsid w:val="000A780A"/>
    <w:rPr>
      <w:rFonts w:ascii="Tahoma" w:eastAsia="MS Mincho" w:hAnsi="Tahoma"/>
      <w:bCs/>
      <w:smallCaps/>
      <w:vertAlign w:val="superscript"/>
      <w:lang w:val="en-GB" w:eastAsia="en-US" w:bidi="ar-SA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0A780A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</w:rPr>
  </w:style>
  <w:style w:type="paragraph" w:styleId="Header">
    <w:name w:val="header"/>
    <w:basedOn w:val="Normal"/>
    <w:rsid w:val="000A780A"/>
    <w:pPr>
      <w:tabs>
        <w:tab w:val="center" w:pos="4320"/>
        <w:tab w:val="right" w:pos="8640"/>
      </w:tabs>
    </w:pPr>
    <w:rPr>
      <w:rFonts w:ascii="Arial" w:hAnsi="Arial"/>
      <w:szCs w:val="20"/>
    </w:rPr>
  </w:style>
  <w:style w:type="character" w:styleId="Hyperlink">
    <w:name w:val="Hyperlink"/>
    <w:basedOn w:val="DefaultParagraphFont"/>
    <w:rsid w:val="000A780A"/>
    <w:rPr>
      <w:rFonts w:ascii="Tahoma" w:eastAsia="MS Mincho" w:hAnsi="Tahoma"/>
      <w:color w:val="0000FF"/>
      <w:u w:val="single"/>
      <w:lang w:val="en-GB" w:eastAsia="en-US" w:bidi="ar-SA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</w:rPr>
  </w:style>
  <w:style w:type="paragraph" w:customStyle="1" w:styleId="NormaleBookmanOldStyle">
    <w:name w:val="Normale + Bookman Old Style"/>
    <w:aliases w:val="Giustificato,Dopo:  6 pt"/>
    <w:basedOn w:val="Normal"/>
    <w:rsid w:val="00300F6E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300F6E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0A780A"/>
    <w:rPr>
      <w:rFonts w:ascii="Tahoma" w:eastAsia="MS Mincho" w:hAnsi="Tahoma"/>
      <w:lang w:val="en-GB" w:eastAsia="en-US" w:bidi="ar-SA"/>
    </w:rPr>
  </w:style>
  <w:style w:type="table" w:styleId="TableGrid">
    <w:name w:val="Table Grid"/>
    <w:basedOn w:val="TableNormal"/>
    <w:rsid w:val="000A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0A780A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300F6E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0A780A"/>
    <w:pPr>
      <w:jc w:val="center"/>
    </w:pPr>
    <w:rPr>
      <w:rFonts w:ascii="Arial" w:hAnsi="Arial"/>
      <w:sz w:val="28"/>
      <w:szCs w:val="20"/>
    </w:rPr>
  </w:style>
  <w:style w:type="character" w:customStyle="1" w:styleId="TitulliCharChar">
    <w:name w:val="Titulli Char Char"/>
    <w:basedOn w:val="DefaultParagraphFont"/>
    <w:rsid w:val="00300F6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BULLETUDHEZIM">
    <w:name w:val="BULLET UDHEZIM"/>
    <w:basedOn w:val="Normal"/>
    <w:rsid w:val="00300F6E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paragraph" w:customStyle="1" w:styleId="Pas">
    <w:name w:val="Pas"/>
    <w:basedOn w:val="Normal"/>
    <w:rsid w:val="00300F6E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Char">
    <w:name w:val=" Char"/>
    <w:basedOn w:val="Normal"/>
    <w:rsid w:val="00300F6E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300F6E"/>
    <w:rPr>
      <w:rFonts w:ascii="Trebuchet MS" w:eastAsia="MS Mincho" w:hAnsi="Trebuchet MS"/>
      <w:lang w:val="en-GB" w:eastAsia="en-US" w:bidi="ar-SA"/>
    </w:rPr>
  </w:style>
  <w:style w:type="paragraph" w:customStyle="1" w:styleId="BoxText">
    <w:name w:val="Box Text"/>
    <w:basedOn w:val="Normal"/>
    <w:rsid w:val="00300F6E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</w:rPr>
  </w:style>
  <w:style w:type="paragraph" w:customStyle="1" w:styleId="bulletmenumra">
    <w:name w:val="bullet me numra"/>
    <w:basedOn w:val="Normal"/>
    <w:rsid w:val="00300F6E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300F6E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300F6E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300F6E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300F6E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Char">
    <w:name w:val="footnote Char"/>
    <w:basedOn w:val="DefaultParagraphFont"/>
    <w:rsid w:val="00300F6E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300F6E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300F6E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300F6E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300F6E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300F6E"/>
    <w:pPr>
      <w:pageBreakBefore/>
      <w:numPr>
        <w:numId w:val="20"/>
      </w:numPr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300F6E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</w:rPr>
  </w:style>
  <w:style w:type="paragraph" w:customStyle="1" w:styleId="Listbullet">
    <w:name w:val="List bullet"/>
    <w:basedOn w:val="Normal"/>
    <w:rsid w:val="00300F6E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300F6E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BF58DD"/>
    <w:pPr>
      <w:numPr>
        <w:numId w:val="8"/>
      </w:numPr>
    </w:pPr>
  </w:style>
  <w:style w:type="character" w:customStyle="1" w:styleId="listmenumraCharChar">
    <w:name w:val="list me numra Char Char"/>
    <w:basedOn w:val="ListBullet2Char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300F6E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300F6E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300F6E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300F6E"/>
    <w:pPr>
      <w:ind w:left="720"/>
    </w:pPr>
  </w:style>
  <w:style w:type="paragraph" w:customStyle="1" w:styleId="Section">
    <w:name w:val="Section"/>
    <w:rsid w:val="00300F6E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300F6E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300F6E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300F6E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300F6E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300F6E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</w:rPr>
  </w:style>
  <w:style w:type="paragraph" w:customStyle="1" w:styleId="Table">
    <w:name w:val="Table"/>
    <w:basedOn w:val="Normal"/>
    <w:next w:val="BodyText"/>
    <w:autoRedefine/>
    <w:rsid w:val="00300F6E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/>
    </w:rPr>
  </w:style>
  <w:style w:type="paragraph" w:customStyle="1" w:styleId="TableFootnote">
    <w:name w:val="Table Footnote"/>
    <w:basedOn w:val="Normal"/>
    <w:rsid w:val="00300F6E"/>
    <w:pPr>
      <w:widowControl w:val="0"/>
      <w:spacing w:before="80" w:after="240"/>
      <w:contextualSpacing/>
    </w:pPr>
    <w:rPr>
      <w:rFonts w:ascii="Trebuchet MS" w:hAnsi="Trebuchet MS"/>
      <w:sz w:val="18"/>
      <w:szCs w:val="20"/>
    </w:rPr>
  </w:style>
  <w:style w:type="paragraph" w:customStyle="1" w:styleId="TableText">
    <w:name w:val="Table Text"/>
    <w:basedOn w:val="BodyText"/>
    <w:rsid w:val="00300F6E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xl46">
    <w:name w:val="xl46"/>
    <w:basedOn w:val="Normal"/>
    <w:rsid w:val="00300F6E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</w:rPr>
  </w:style>
  <w:style w:type="paragraph" w:customStyle="1" w:styleId="xl47">
    <w:name w:val="xl47"/>
    <w:basedOn w:val="Normal"/>
    <w:rsid w:val="00300F6E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</w:rPr>
  </w:style>
  <w:style w:type="paragraph" w:customStyle="1" w:styleId="xl24">
    <w:name w:val="xl24"/>
    <w:basedOn w:val="Normal"/>
    <w:rsid w:val="00300F6E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</w:rPr>
  </w:style>
  <w:style w:type="paragraph" w:customStyle="1" w:styleId="xl25">
    <w:name w:val="xl25"/>
    <w:basedOn w:val="Normal"/>
    <w:rsid w:val="00300F6E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26">
    <w:name w:val="xl26"/>
    <w:basedOn w:val="Normal"/>
    <w:rsid w:val="00300F6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Normal"/>
    <w:rsid w:val="00300F6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xl28">
    <w:name w:val="xl28"/>
    <w:basedOn w:val="Normal"/>
    <w:rsid w:val="00300F6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character" w:customStyle="1" w:styleId="AutoritetiEmerChar">
    <w:name w:val="Autoriteti_Emer Char"/>
    <w:basedOn w:val="DefaultParagraphFont"/>
    <w:link w:val="AutoritetiEmer"/>
    <w:rsid w:val="00B110C0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B110C0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2019-03-16T19:06:00Z</dcterms:created>
  <dcterms:modified xsi:type="dcterms:W3CDTF">2019-03-16T19:06:00Z</dcterms:modified>
</cp:coreProperties>
</file>