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708" w:rsidRPr="00FC7224" w:rsidRDefault="00BF7708" w:rsidP="00BF7708">
      <w:pPr>
        <w:pStyle w:val="Akti"/>
        <w:keepNext w:val="0"/>
        <w:rPr>
          <w:lang w:val="sq-AL"/>
        </w:rPr>
      </w:pPr>
      <w:bookmarkStart w:id="0" w:name="_GoBack"/>
      <w:bookmarkEnd w:id="0"/>
      <w:r w:rsidRPr="00FC7224">
        <w:rPr>
          <w:lang w:val="sq-AL"/>
        </w:rPr>
        <w:t>Vendim</w:t>
      </w:r>
    </w:p>
    <w:p w:rsidR="00BF7708" w:rsidRPr="00FC7224" w:rsidRDefault="00BF7708" w:rsidP="00BF7708">
      <w:pPr>
        <w:pStyle w:val="NumriData"/>
        <w:keepNext w:val="0"/>
        <w:rPr>
          <w:lang w:val="sq-AL"/>
        </w:rPr>
      </w:pPr>
      <w:r>
        <w:rPr>
          <w:lang w:val="sq-AL"/>
        </w:rPr>
        <w:t>Nr.742, datë 28.5</w:t>
      </w:r>
      <w:r w:rsidRPr="00FC7224">
        <w:rPr>
          <w:lang w:val="sq-AL"/>
        </w:rPr>
        <w:t>.2008</w:t>
      </w:r>
    </w:p>
    <w:p w:rsidR="00BF7708" w:rsidRPr="00FC7224" w:rsidRDefault="00BF7708" w:rsidP="00BF7708">
      <w:pPr>
        <w:pStyle w:val="Paragrafi"/>
        <w:rPr>
          <w:lang w:val="sq-AL"/>
        </w:rPr>
      </w:pPr>
    </w:p>
    <w:p w:rsidR="00BF7708" w:rsidRPr="00FC7224" w:rsidRDefault="00BF7708" w:rsidP="00BF7708">
      <w:pPr>
        <w:pStyle w:val="Titulli"/>
        <w:keepNext w:val="0"/>
        <w:rPr>
          <w:lang w:val="sq-AL"/>
        </w:rPr>
      </w:pPr>
      <w:r w:rsidRPr="00FC7224">
        <w:rPr>
          <w:lang w:val="sq-AL"/>
        </w:rPr>
        <w:t>Për miratimin e listës përfundimtare të pronave, pyje dhe kullota, që do të transferohen në pronësi të njësisë së qeve</w:t>
      </w:r>
      <w:r>
        <w:rPr>
          <w:lang w:val="sq-AL"/>
        </w:rPr>
        <w:t>risjes vendore, komuna MUHURR, të qarkut të DIB</w:t>
      </w:r>
      <w:r w:rsidRPr="00FC7224">
        <w:rPr>
          <w:lang w:val="sq-AL"/>
        </w:rPr>
        <w:t>rës</w:t>
      </w:r>
    </w:p>
    <w:p w:rsidR="00BF7708" w:rsidRPr="00FC7224" w:rsidRDefault="00BF7708" w:rsidP="00BF7708">
      <w:pPr>
        <w:pStyle w:val="Paragrafi"/>
        <w:rPr>
          <w:lang w:val="sq-AL"/>
        </w:rPr>
      </w:pPr>
    </w:p>
    <w:p w:rsidR="00BF7708" w:rsidRPr="00FC7224" w:rsidRDefault="00BF7708" w:rsidP="00BF7708">
      <w:pPr>
        <w:pStyle w:val="BazLigjPropozues"/>
        <w:keepNext w:val="0"/>
        <w:rPr>
          <w:lang w:val="sq-AL"/>
        </w:rPr>
      </w:pPr>
      <w:r w:rsidRPr="00FC7224">
        <w:rPr>
          <w:lang w:val="sq-AL"/>
        </w:rPr>
        <w:t>Në mbështetje të nenit 100 të Kushtetutës, të neneve 2,</w:t>
      </w:r>
      <w:r>
        <w:rPr>
          <w:lang w:val="sq-AL"/>
        </w:rPr>
        <w:t xml:space="preserve"> </w:t>
      </w:r>
      <w:r w:rsidRPr="00FC7224">
        <w:rPr>
          <w:lang w:val="sq-AL"/>
        </w:rPr>
        <w:t>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BF7708" w:rsidRPr="00FC7224" w:rsidRDefault="00BF7708" w:rsidP="00BF7708">
      <w:pPr>
        <w:pStyle w:val="Paragrafi"/>
        <w:rPr>
          <w:lang w:val="sq-AL"/>
        </w:rPr>
      </w:pPr>
    </w:p>
    <w:p w:rsidR="00BF7708" w:rsidRPr="00FC7224" w:rsidRDefault="00BF7708" w:rsidP="00BF7708">
      <w:pPr>
        <w:pStyle w:val="VENDOSI"/>
        <w:keepNext w:val="0"/>
        <w:rPr>
          <w:lang w:val="sq-AL"/>
        </w:rPr>
      </w:pPr>
      <w:r w:rsidRPr="00FC7224">
        <w:rPr>
          <w:lang w:val="sq-AL"/>
        </w:rPr>
        <w:t>Vendosi:</w:t>
      </w:r>
    </w:p>
    <w:p w:rsidR="00BF7708" w:rsidRPr="00FC7224" w:rsidRDefault="00BF7708" w:rsidP="00BF7708">
      <w:pPr>
        <w:pStyle w:val="Paragrafi"/>
        <w:rPr>
          <w:lang w:val="sq-AL"/>
        </w:rPr>
      </w:pPr>
    </w:p>
    <w:p w:rsidR="00BF7708" w:rsidRPr="00FC7224" w:rsidRDefault="00BF7708" w:rsidP="00BF7708">
      <w:pPr>
        <w:pStyle w:val="Paragrafi"/>
        <w:rPr>
          <w:lang w:val="sq-AL"/>
        </w:rPr>
      </w:pPr>
      <w:r w:rsidRPr="00FC7224">
        <w:rPr>
          <w:lang w:val="sq-AL"/>
        </w:rPr>
        <w:t>1. Miratimin e listës përfundimtare të pronave të paluajtshme publike, pyje dhe kullota, që janë në juridiksionin territ</w:t>
      </w:r>
      <w:r>
        <w:rPr>
          <w:lang w:val="sq-AL"/>
        </w:rPr>
        <w:t>orial dhe administrativ</w:t>
      </w:r>
      <w:r w:rsidRPr="00FC7224">
        <w:rPr>
          <w:lang w:val="sq-AL"/>
        </w:rPr>
        <w:t xml:space="preserve"> të njësisë së qeve</w:t>
      </w:r>
      <w:r>
        <w:rPr>
          <w:lang w:val="sq-AL"/>
        </w:rPr>
        <w:t>risjes vendore, komuna Muhurr, të qarkut të Dib</w:t>
      </w:r>
      <w:r w:rsidRPr="00FC7224">
        <w:rPr>
          <w:lang w:val="sq-AL"/>
        </w:rPr>
        <w:t>rës, që do t’i transferohen në pronësi kësaj njësie.</w:t>
      </w:r>
    </w:p>
    <w:p w:rsidR="00BF7708" w:rsidRPr="00FC7224" w:rsidRDefault="00BF7708" w:rsidP="00BF7708">
      <w:pPr>
        <w:pStyle w:val="Paragrafi"/>
        <w:rPr>
          <w:lang w:val="sq-AL"/>
        </w:rPr>
      </w:pPr>
      <w:r w:rsidRPr="00FC7224">
        <w:rPr>
          <w:lang w:val="sq-AL"/>
        </w:rPr>
        <w:t>2. Lista përfundimtare e pronave të paluajtsh</w:t>
      </w:r>
      <w:r>
        <w:rPr>
          <w:lang w:val="sq-AL"/>
        </w:rPr>
        <w:t>me, pyje dhe kullota, me 4 (katër</w:t>
      </w:r>
      <w:r w:rsidRPr="00FC7224">
        <w:rPr>
          <w:lang w:val="sq-AL"/>
        </w:rPr>
        <w:t>) fletë, që përfundon me numrin rendo</w:t>
      </w:r>
      <w:r>
        <w:rPr>
          <w:lang w:val="sq-AL"/>
        </w:rPr>
        <w:t>r 119 (njëqind e nëntëmbëdhjetë</w:t>
      </w:r>
      <w:r w:rsidRPr="00FC7224">
        <w:rPr>
          <w:lang w:val="sq-AL"/>
        </w:rPr>
        <w:t xml:space="preserve">), dhe lidhja </w:t>
      </w:r>
      <w:r>
        <w:rPr>
          <w:lang w:val="sq-AL"/>
        </w:rPr>
        <w:t>nr.</w:t>
      </w:r>
      <w:r w:rsidRPr="00FC7224">
        <w:rPr>
          <w:lang w:val="sq-AL"/>
        </w:rPr>
        <w:t>1 i bashkëlidhen këtij vendimi dhe janë pjesë përbërëse e tij.</w:t>
      </w:r>
    </w:p>
    <w:p w:rsidR="00BF7708" w:rsidRPr="00FC7224" w:rsidRDefault="00BF7708" w:rsidP="00BF7708">
      <w:pPr>
        <w:pStyle w:val="Paragrafi"/>
        <w:rPr>
          <w:lang w:val="sq-AL"/>
        </w:rPr>
      </w:pPr>
      <w:r w:rsidRPr="00FC7224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</w:t>
      </w:r>
      <w:r>
        <w:rPr>
          <w:lang w:val="sq-AL"/>
        </w:rPr>
        <w:t>komuna Muhurr</w:t>
      </w:r>
      <w:r w:rsidRPr="00FC7224">
        <w:rPr>
          <w:lang w:val="sq-AL"/>
        </w:rPr>
        <w:t xml:space="preserve"> për zbatimin e këtij vendimi.</w:t>
      </w:r>
    </w:p>
    <w:p w:rsidR="00BF7708" w:rsidRPr="00FC7224" w:rsidRDefault="00BF7708" w:rsidP="00BF7708">
      <w:pPr>
        <w:pStyle w:val="Paragrafi"/>
        <w:rPr>
          <w:lang w:val="sq-AL"/>
        </w:rPr>
      </w:pPr>
      <w:r w:rsidRPr="00FC7224">
        <w:rPr>
          <w:lang w:val="sq-AL"/>
        </w:rPr>
        <w:t>Ky vendim hyn në fuqi pas botimit në Fletoren Zyrtare.</w:t>
      </w:r>
    </w:p>
    <w:p w:rsidR="00BF7708" w:rsidRPr="00FC7224" w:rsidRDefault="00BF7708" w:rsidP="00BF7708">
      <w:pPr>
        <w:pStyle w:val="Paragrafi"/>
        <w:rPr>
          <w:lang w:val="sq-AL"/>
        </w:rPr>
      </w:pPr>
    </w:p>
    <w:p w:rsidR="00BF7708" w:rsidRPr="00FC7224" w:rsidRDefault="00BF7708" w:rsidP="00BF7708">
      <w:pPr>
        <w:pStyle w:val="Autoriteti"/>
        <w:keepNext w:val="0"/>
        <w:rPr>
          <w:lang w:val="sq-AL"/>
        </w:rPr>
      </w:pPr>
      <w:r w:rsidRPr="00FC7224">
        <w:rPr>
          <w:lang w:val="sq-AL"/>
        </w:rPr>
        <w:t>Kryeministri</w:t>
      </w:r>
    </w:p>
    <w:p w:rsidR="00BF7708" w:rsidRDefault="00BF7708" w:rsidP="00BF7708">
      <w:pPr>
        <w:pStyle w:val="AutoritetiEmer"/>
        <w:rPr>
          <w:lang w:val="sq-AL"/>
        </w:rPr>
      </w:pPr>
      <w:r w:rsidRPr="00FC7224">
        <w:rPr>
          <w:lang w:val="sq-AL"/>
        </w:rPr>
        <w:t>Sali Berisha</w:t>
      </w:r>
    </w:p>
    <w:p w:rsidR="00BF7708" w:rsidRDefault="00BF7708" w:rsidP="00BF7708">
      <w:pPr>
        <w:pStyle w:val="Paragrafi"/>
      </w:pPr>
    </w:p>
    <w:p w:rsidR="00BF7708" w:rsidRDefault="00BF7708" w:rsidP="00BF7708">
      <w:pPr>
        <w:pStyle w:val="Paragrafi"/>
      </w:pPr>
    </w:p>
    <w:p w:rsidR="00BF7708" w:rsidRDefault="00BF7708" w:rsidP="00BF7708">
      <w:pPr>
        <w:pStyle w:val="Paragrafi"/>
      </w:pPr>
    </w:p>
    <w:p w:rsidR="00BF7708" w:rsidRDefault="00BF7708" w:rsidP="00BF7708">
      <w:pPr>
        <w:pStyle w:val="Paragrafi"/>
      </w:pPr>
    </w:p>
    <w:p w:rsidR="00BF7708" w:rsidRDefault="00BF7708" w:rsidP="00BF7708">
      <w:pPr>
        <w:pStyle w:val="Paragrafi"/>
      </w:pPr>
    </w:p>
    <w:p w:rsidR="00BF7708" w:rsidRDefault="00BF7708" w:rsidP="00BF7708">
      <w:pPr>
        <w:pStyle w:val="Paragrafi"/>
      </w:pPr>
    </w:p>
    <w:p w:rsidR="00BF7708" w:rsidRDefault="00BF7708" w:rsidP="00BF7708">
      <w:pPr>
        <w:pStyle w:val="Paragrafi"/>
      </w:pPr>
    </w:p>
    <w:p w:rsidR="00BF7708" w:rsidRDefault="00BF7708" w:rsidP="00BF7708">
      <w:pPr>
        <w:pStyle w:val="Paragrafi"/>
      </w:pPr>
    </w:p>
    <w:p w:rsidR="00BF7708" w:rsidRDefault="00BF7708" w:rsidP="00BF7708">
      <w:pPr>
        <w:pStyle w:val="Paragrafi"/>
      </w:pPr>
    </w:p>
    <w:p w:rsidR="00BF7708" w:rsidRDefault="00BF7708" w:rsidP="00BF7708">
      <w:pPr>
        <w:pStyle w:val="Paragrafi"/>
      </w:pPr>
    </w:p>
    <w:p w:rsidR="00BF7708" w:rsidRDefault="00BF7708" w:rsidP="00BF7708">
      <w:pPr>
        <w:pStyle w:val="Paragrafi"/>
      </w:pPr>
    </w:p>
    <w:p w:rsidR="00BF7708" w:rsidRDefault="00C9746E" w:rsidP="00BF7708">
      <w:pPr>
        <w:pStyle w:val="Paragrafi"/>
      </w:pPr>
      <w:r w:rsidRPr="00115752">
        <w:rPr>
          <w:noProof/>
          <w:lang w:val="en-GB" w:eastAsia="en-GB"/>
        </w:rPr>
        <w:lastRenderedPageBreak/>
        <w:drawing>
          <wp:inline distT="0" distB="0" distL="0" distR="0">
            <wp:extent cx="5715000" cy="8572500"/>
            <wp:effectExtent l="0" t="0" r="0" b="0"/>
            <wp:docPr id="1" name="Picture 1" descr="74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42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59" b="3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708" w:rsidRDefault="00BF7708" w:rsidP="00BF7708">
      <w:pPr>
        <w:pStyle w:val="Figure"/>
      </w:pPr>
    </w:p>
    <w:p w:rsidR="00BF7708" w:rsidRDefault="00C9746E" w:rsidP="00BF7708">
      <w:pPr>
        <w:pStyle w:val="Figure"/>
      </w:pPr>
      <w:r w:rsidRPr="00115752">
        <w:rPr>
          <w:noProof/>
          <w:lang w:val="en-GB" w:eastAsia="en-GB"/>
        </w:rPr>
        <w:lastRenderedPageBreak/>
        <w:drawing>
          <wp:inline distT="0" distB="0" distL="0" distR="0">
            <wp:extent cx="5753100" cy="8343900"/>
            <wp:effectExtent l="0" t="0" r="0" b="0"/>
            <wp:docPr id="2" name="Picture 2" descr="74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42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708" w:rsidRDefault="00BF7708" w:rsidP="00BF7708">
      <w:pPr>
        <w:pStyle w:val="Figure"/>
      </w:pPr>
    </w:p>
    <w:p w:rsidR="00BF7708" w:rsidRDefault="00BF7708" w:rsidP="00BF7708">
      <w:pPr>
        <w:pStyle w:val="Figure"/>
      </w:pPr>
    </w:p>
    <w:p w:rsidR="00BF7708" w:rsidRDefault="00BF7708" w:rsidP="00BF7708">
      <w:pPr>
        <w:pStyle w:val="Figure"/>
      </w:pPr>
    </w:p>
    <w:p w:rsidR="00BF7708" w:rsidRDefault="00C9746E" w:rsidP="00BF7708">
      <w:pPr>
        <w:pStyle w:val="Figure"/>
      </w:pPr>
      <w:r w:rsidRPr="001E473B">
        <w:rPr>
          <w:noProof/>
          <w:lang w:val="en-GB" w:eastAsia="en-GB"/>
        </w:rPr>
        <w:drawing>
          <wp:inline distT="0" distB="0" distL="0" distR="0">
            <wp:extent cx="5753100" cy="8343900"/>
            <wp:effectExtent l="0" t="0" r="0" b="0"/>
            <wp:docPr id="3" name="Picture 3" descr="74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42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708" w:rsidRDefault="00BF7708" w:rsidP="00BF7708">
      <w:pPr>
        <w:pStyle w:val="Figure"/>
      </w:pPr>
    </w:p>
    <w:p w:rsidR="00BF7708" w:rsidRDefault="00BF7708" w:rsidP="00BF7708">
      <w:pPr>
        <w:pStyle w:val="Figure"/>
      </w:pPr>
    </w:p>
    <w:p w:rsidR="00BF7708" w:rsidRDefault="00C9746E" w:rsidP="00BF7708">
      <w:pPr>
        <w:pStyle w:val="Figure"/>
      </w:pPr>
      <w:r w:rsidRPr="001E473B">
        <w:rPr>
          <w:noProof/>
          <w:lang w:val="en-GB" w:eastAsia="en-GB"/>
        </w:rPr>
        <w:drawing>
          <wp:inline distT="0" distB="0" distL="0" distR="0">
            <wp:extent cx="1371600" cy="8801100"/>
            <wp:effectExtent l="0" t="0" r="0" b="0"/>
            <wp:docPr id="4" name="Picture 4" descr="74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42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703" b="1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708" w:rsidRPr="008136F2" w:rsidRDefault="00BF7708" w:rsidP="00BF7708">
      <w:pPr>
        <w:pStyle w:val="Paragrafi"/>
        <w:rPr>
          <w:lang w:val="sq-AL"/>
        </w:rPr>
      </w:pPr>
      <w:r w:rsidRPr="008136F2">
        <w:rPr>
          <w:lang w:val="sq-AL"/>
        </w:rPr>
        <w:t>Njësia e qeverisjes vendore: komuna Muhur</w:t>
      </w:r>
      <w:r w:rsidRPr="008136F2">
        <w:rPr>
          <w:lang w:val="sq-AL"/>
        </w:rPr>
        <w:tab/>
      </w:r>
      <w:r w:rsidRPr="008136F2">
        <w:rPr>
          <w:lang w:val="sq-AL"/>
        </w:rPr>
        <w:tab/>
      </w:r>
      <w:r w:rsidRPr="008136F2">
        <w:rPr>
          <w:lang w:val="sq-AL"/>
        </w:rPr>
        <w:tab/>
      </w:r>
      <w:r w:rsidRPr="008136F2">
        <w:rPr>
          <w:lang w:val="sq-AL"/>
        </w:rPr>
        <w:tab/>
        <w:t>Lidhja nr.1</w:t>
      </w:r>
    </w:p>
    <w:p w:rsidR="00BF7708" w:rsidRPr="008136F2" w:rsidRDefault="00BF7708" w:rsidP="00BF7708">
      <w:pPr>
        <w:pStyle w:val="Paragrafi"/>
        <w:rPr>
          <w:lang w:val="sq-AL"/>
        </w:rPr>
      </w:pPr>
    </w:p>
    <w:tbl>
      <w:tblPr>
        <w:tblStyle w:val="Kapitulli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3060"/>
        <w:gridCol w:w="1978"/>
      </w:tblGrid>
      <w:tr w:rsidR="00BF7708" w:rsidRPr="00BF7708">
        <w:tc>
          <w:tcPr>
            <w:tcW w:w="4248" w:type="dxa"/>
          </w:tcPr>
          <w:p w:rsidR="00BF7708" w:rsidRPr="00BF7708" w:rsidRDefault="00BF7708" w:rsidP="00BF7708">
            <w:pPr>
              <w:pStyle w:val="Tabele"/>
              <w:rPr>
                <w:b/>
                <w:lang w:val="it-IT"/>
              </w:rPr>
            </w:pPr>
            <w:r w:rsidRPr="00BF7708">
              <w:rPr>
                <w:b/>
                <w:caps w:val="0"/>
                <w:lang w:val="it-IT"/>
              </w:rPr>
              <w:t>Numrat rendorë të pronave në listën e inventarit</w:t>
            </w:r>
          </w:p>
        </w:tc>
        <w:tc>
          <w:tcPr>
            <w:tcW w:w="3060" w:type="dxa"/>
          </w:tcPr>
          <w:p w:rsidR="00BF7708" w:rsidRPr="00BF7708" w:rsidRDefault="00BF7708" w:rsidP="00BF7708">
            <w:pPr>
              <w:pStyle w:val="Tabele"/>
              <w:rPr>
                <w:b/>
                <w:lang w:val="it-IT"/>
              </w:rPr>
            </w:pPr>
            <w:r w:rsidRPr="00BF7708">
              <w:rPr>
                <w:b/>
                <w:caps w:val="0"/>
                <w:lang w:val="it-IT"/>
              </w:rPr>
              <w:t>Fusha e përdorimit të pronës</w:t>
            </w:r>
          </w:p>
        </w:tc>
        <w:tc>
          <w:tcPr>
            <w:tcW w:w="1978" w:type="dxa"/>
          </w:tcPr>
          <w:p w:rsidR="00BF7708" w:rsidRPr="00BF7708" w:rsidRDefault="00BF7708" w:rsidP="00BF7708">
            <w:pPr>
              <w:pStyle w:val="Tabele"/>
              <w:rPr>
                <w:b/>
              </w:rPr>
            </w:pPr>
            <w:r w:rsidRPr="00BF7708">
              <w:rPr>
                <w:b/>
                <w:caps w:val="0"/>
              </w:rPr>
              <w:t>Lloji i transferimit</w:t>
            </w:r>
          </w:p>
        </w:tc>
      </w:tr>
      <w:tr w:rsidR="00BF7708">
        <w:tc>
          <w:tcPr>
            <w:tcW w:w="4248" w:type="dxa"/>
          </w:tcPr>
          <w:p w:rsidR="00BF7708" w:rsidRDefault="00BF7708" w:rsidP="00BF7708">
            <w:pPr>
              <w:pStyle w:val="Tabele"/>
            </w:pPr>
            <w:r>
              <w:rPr>
                <w:caps w:val="0"/>
              </w:rPr>
              <w:t xml:space="preserve">104-107; 139-174; 193-243; 247-249; </w:t>
            </w:r>
          </w:p>
        </w:tc>
        <w:tc>
          <w:tcPr>
            <w:tcW w:w="3060" w:type="dxa"/>
          </w:tcPr>
          <w:p w:rsidR="00BF7708" w:rsidRDefault="00BF7708" w:rsidP="00BF7708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BF7708" w:rsidRDefault="00BF7708" w:rsidP="00BF7708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BF7708">
        <w:tc>
          <w:tcPr>
            <w:tcW w:w="4248" w:type="dxa"/>
          </w:tcPr>
          <w:p w:rsidR="00BF7708" w:rsidRDefault="00BF7708" w:rsidP="00BF7708">
            <w:pPr>
              <w:pStyle w:val="Tabele"/>
            </w:pPr>
            <w:r>
              <w:rPr>
                <w:caps w:val="0"/>
              </w:rPr>
              <w:t>254-255; 257-262; 275-281; 300-309</w:t>
            </w:r>
          </w:p>
        </w:tc>
        <w:tc>
          <w:tcPr>
            <w:tcW w:w="3060" w:type="dxa"/>
          </w:tcPr>
          <w:p w:rsidR="00BF7708" w:rsidRDefault="00BF7708" w:rsidP="00BF7708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BF7708" w:rsidRDefault="00BF7708" w:rsidP="00BF7708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BF7708">
        <w:tc>
          <w:tcPr>
            <w:tcW w:w="4248" w:type="dxa"/>
          </w:tcPr>
          <w:p w:rsidR="00BF7708" w:rsidRDefault="00BF7708" w:rsidP="00BF7708">
            <w:pPr>
              <w:pStyle w:val="Tabele"/>
            </w:pPr>
          </w:p>
        </w:tc>
        <w:tc>
          <w:tcPr>
            <w:tcW w:w="3060" w:type="dxa"/>
          </w:tcPr>
          <w:p w:rsidR="00BF7708" w:rsidRDefault="00BF7708" w:rsidP="00BF7708">
            <w:pPr>
              <w:pStyle w:val="Tabele"/>
            </w:pPr>
          </w:p>
        </w:tc>
        <w:tc>
          <w:tcPr>
            <w:tcW w:w="1978" w:type="dxa"/>
          </w:tcPr>
          <w:p w:rsidR="00BF7708" w:rsidRDefault="00BF7708" w:rsidP="00BF7708">
            <w:pPr>
              <w:pStyle w:val="Tabele"/>
            </w:pPr>
          </w:p>
        </w:tc>
      </w:tr>
      <w:tr w:rsidR="00BF7708">
        <w:tc>
          <w:tcPr>
            <w:tcW w:w="4248" w:type="dxa"/>
          </w:tcPr>
          <w:p w:rsidR="00BF7708" w:rsidRDefault="00BF7708" w:rsidP="00BF7708">
            <w:pPr>
              <w:pStyle w:val="Tabele"/>
            </w:pPr>
          </w:p>
        </w:tc>
        <w:tc>
          <w:tcPr>
            <w:tcW w:w="3060" w:type="dxa"/>
          </w:tcPr>
          <w:p w:rsidR="00BF7708" w:rsidRDefault="00BF7708" w:rsidP="00BF7708">
            <w:pPr>
              <w:pStyle w:val="Tabele"/>
            </w:pPr>
          </w:p>
        </w:tc>
        <w:tc>
          <w:tcPr>
            <w:tcW w:w="1978" w:type="dxa"/>
          </w:tcPr>
          <w:p w:rsidR="00BF7708" w:rsidRDefault="00BF7708" w:rsidP="00BF7708">
            <w:pPr>
              <w:pStyle w:val="Tabele"/>
            </w:pPr>
          </w:p>
        </w:tc>
      </w:tr>
      <w:tr w:rsidR="00BF7708">
        <w:tc>
          <w:tcPr>
            <w:tcW w:w="4248" w:type="dxa"/>
          </w:tcPr>
          <w:p w:rsidR="00BF7708" w:rsidRDefault="00BF7708" w:rsidP="00BF7708">
            <w:pPr>
              <w:pStyle w:val="Tabele"/>
            </w:pPr>
          </w:p>
        </w:tc>
        <w:tc>
          <w:tcPr>
            <w:tcW w:w="3060" w:type="dxa"/>
          </w:tcPr>
          <w:p w:rsidR="00BF7708" w:rsidRDefault="00BF7708" w:rsidP="00BF7708">
            <w:pPr>
              <w:pStyle w:val="Tabele"/>
            </w:pPr>
          </w:p>
        </w:tc>
        <w:tc>
          <w:tcPr>
            <w:tcW w:w="1978" w:type="dxa"/>
          </w:tcPr>
          <w:p w:rsidR="00BF7708" w:rsidRDefault="00BF7708" w:rsidP="00BF7708">
            <w:pPr>
              <w:pStyle w:val="Tabele"/>
            </w:pPr>
          </w:p>
        </w:tc>
      </w:tr>
      <w:tr w:rsidR="00BF7708">
        <w:tc>
          <w:tcPr>
            <w:tcW w:w="4248" w:type="dxa"/>
          </w:tcPr>
          <w:p w:rsidR="00BF7708" w:rsidRDefault="00BF7708" w:rsidP="00BF7708">
            <w:pPr>
              <w:pStyle w:val="Tabele"/>
            </w:pPr>
          </w:p>
        </w:tc>
        <w:tc>
          <w:tcPr>
            <w:tcW w:w="3060" w:type="dxa"/>
          </w:tcPr>
          <w:p w:rsidR="00BF7708" w:rsidRDefault="00BF7708" w:rsidP="00BF7708">
            <w:pPr>
              <w:pStyle w:val="Tabele"/>
            </w:pPr>
          </w:p>
        </w:tc>
        <w:tc>
          <w:tcPr>
            <w:tcW w:w="1978" w:type="dxa"/>
          </w:tcPr>
          <w:p w:rsidR="00BF7708" w:rsidRDefault="00BF7708" w:rsidP="00BF7708">
            <w:pPr>
              <w:pStyle w:val="Tabele"/>
            </w:pPr>
          </w:p>
        </w:tc>
      </w:tr>
    </w:tbl>
    <w:p w:rsidR="00BF7708" w:rsidRPr="00811809" w:rsidRDefault="00BF7708" w:rsidP="00BF7708">
      <w:pPr>
        <w:pStyle w:val="Paragrafi"/>
      </w:pPr>
    </w:p>
    <w:sectPr w:rsidR="00BF7708" w:rsidRPr="0081180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7708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BF7708"/>
    <w:rsid w:val="00C24C1C"/>
    <w:rsid w:val="00C84B66"/>
    <w:rsid w:val="00C9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8497DA-5610-43BC-9792-CE4F2848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708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BF770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770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2019-03-16T19:07:00Z</dcterms:created>
  <dcterms:modified xsi:type="dcterms:W3CDTF">2019-03-16T19:07:00Z</dcterms:modified>
</cp:coreProperties>
</file>