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524" w:rsidRPr="002A3A44" w:rsidRDefault="00362524" w:rsidP="00362524">
      <w:pPr>
        <w:pStyle w:val="Akti"/>
        <w:keepNext w:val="0"/>
        <w:rPr>
          <w:lang w:val="sq-AL"/>
        </w:rPr>
      </w:pPr>
      <w:bookmarkStart w:id="0" w:name="_GoBack"/>
      <w:bookmarkEnd w:id="0"/>
      <w:r>
        <w:rPr>
          <w:lang w:val="sq-AL"/>
        </w:rPr>
        <w:t>V</w:t>
      </w:r>
      <w:r w:rsidRPr="002A3A44">
        <w:rPr>
          <w:lang w:val="sq-AL"/>
        </w:rPr>
        <w:t>endim</w:t>
      </w:r>
    </w:p>
    <w:p w:rsidR="00362524" w:rsidRPr="002A3A44" w:rsidRDefault="00362524" w:rsidP="00362524">
      <w:pPr>
        <w:pStyle w:val="NumriData"/>
        <w:keepNext w:val="0"/>
        <w:rPr>
          <w:szCs w:val="22"/>
          <w:lang w:val="sq-AL"/>
        </w:rPr>
      </w:pPr>
      <w:r w:rsidRPr="002A3A44">
        <w:rPr>
          <w:szCs w:val="22"/>
          <w:lang w:val="sq-AL"/>
        </w:rPr>
        <w:t>Nr.793, datë 4.6.2008</w:t>
      </w:r>
    </w:p>
    <w:p w:rsidR="00362524" w:rsidRPr="002A3A44" w:rsidRDefault="00362524" w:rsidP="00362524">
      <w:pPr>
        <w:pStyle w:val="Paragrafi"/>
        <w:rPr>
          <w:szCs w:val="22"/>
          <w:lang w:val="sq-AL"/>
        </w:rPr>
      </w:pPr>
    </w:p>
    <w:p w:rsidR="00362524" w:rsidRPr="002A3A44" w:rsidRDefault="00362524" w:rsidP="00362524">
      <w:pPr>
        <w:pStyle w:val="Titulli"/>
        <w:keepNext w:val="0"/>
        <w:rPr>
          <w:lang w:val="sq-AL"/>
        </w:rPr>
      </w:pPr>
      <w:r w:rsidRPr="002A3A44">
        <w:rPr>
          <w:lang w:val="sq-AL"/>
        </w:rPr>
        <w:t>Për miratimin e listës përfundimtare të pronave, pyje dhe kullota, që do të transferohen në pronësi të njësisë së qeverisjes vendore, komuna MEMALIAJ-FSHAT</w:t>
      </w:r>
      <w:r>
        <w:rPr>
          <w:lang w:val="sq-AL"/>
        </w:rPr>
        <w:t>,</w:t>
      </w:r>
      <w:r w:rsidRPr="002A3A44">
        <w:rPr>
          <w:lang w:val="sq-AL"/>
        </w:rPr>
        <w:t xml:space="preserve"> të qarkut TË GJIROKA</w:t>
      </w:r>
      <w:r>
        <w:rPr>
          <w:lang w:val="sq-AL"/>
        </w:rPr>
        <w:t>s</w:t>
      </w:r>
      <w:r w:rsidRPr="002A3A44">
        <w:rPr>
          <w:lang w:val="sq-AL"/>
        </w:rPr>
        <w:t>TRëS</w:t>
      </w:r>
    </w:p>
    <w:p w:rsidR="00362524" w:rsidRPr="002A3A44" w:rsidRDefault="00362524" w:rsidP="00362524">
      <w:pPr>
        <w:pStyle w:val="Paragrafi"/>
        <w:rPr>
          <w:szCs w:val="22"/>
          <w:lang w:val="sq-AL"/>
        </w:rPr>
      </w:pPr>
    </w:p>
    <w:p w:rsidR="00362524" w:rsidRPr="002A3A44" w:rsidRDefault="00362524" w:rsidP="00362524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362524" w:rsidRPr="002A3A44" w:rsidRDefault="00362524" w:rsidP="00362524">
      <w:pPr>
        <w:pStyle w:val="Paragrafi"/>
        <w:rPr>
          <w:szCs w:val="22"/>
          <w:lang w:val="sq-AL"/>
        </w:rPr>
      </w:pPr>
    </w:p>
    <w:p w:rsidR="00362524" w:rsidRPr="002A3A44" w:rsidRDefault="00362524" w:rsidP="00362524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362524" w:rsidRPr="002A3A44" w:rsidRDefault="00362524" w:rsidP="00362524">
      <w:pPr>
        <w:pStyle w:val="Paragrafi"/>
        <w:rPr>
          <w:szCs w:val="22"/>
          <w:lang w:val="sq-AL"/>
        </w:rPr>
      </w:pPr>
    </w:p>
    <w:p w:rsidR="00362524" w:rsidRPr="002A3A44" w:rsidRDefault="00362524" w:rsidP="00362524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 vendore, komuna Memaliaj-Fshat</w:t>
      </w:r>
      <w:r>
        <w:rPr>
          <w:szCs w:val="22"/>
          <w:lang w:val="sq-AL"/>
        </w:rPr>
        <w:t>,</w:t>
      </w:r>
      <w:r w:rsidRPr="002A3A44">
        <w:rPr>
          <w:szCs w:val="22"/>
          <w:lang w:val="sq-AL"/>
        </w:rPr>
        <w:t xml:space="preserve"> të qarkut të Gjirokastrës, që do t’i transferohen në pronësi kësaj njësie.</w:t>
      </w:r>
    </w:p>
    <w:p w:rsidR="00362524" w:rsidRPr="002A3A44" w:rsidRDefault="00362524" w:rsidP="00362524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paluajtshme, pyje dhe kullota, me 1 (një) fletë, që përfundon me numrin rendor 9 (nëntë), dhe lidhja nr.1 i bashkëlidhen këtij vendimi dhe janë pjesë përbërëse e tij.</w:t>
      </w:r>
    </w:p>
    <w:p w:rsidR="00362524" w:rsidRPr="002A3A44" w:rsidRDefault="00362524" w:rsidP="00362524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Republikës së Shqipërisë dhe komuna Memaliaj-Fshat për zbatimin e këtij vendimi.</w:t>
      </w:r>
    </w:p>
    <w:p w:rsidR="00362524" w:rsidRPr="002A3A44" w:rsidRDefault="00362524" w:rsidP="00362524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362524" w:rsidRPr="002A3A44" w:rsidRDefault="00362524" w:rsidP="00362524">
      <w:pPr>
        <w:pStyle w:val="Paragrafi"/>
        <w:rPr>
          <w:szCs w:val="22"/>
          <w:lang w:val="sq-AL"/>
        </w:rPr>
      </w:pPr>
    </w:p>
    <w:p w:rsidR="00362524" w:rsidRPr="002A3A44" w:rsidRDefault="00362524" w:rsidP="00362524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362524" w:rsidRPr="002A3A44" w:rsidRDefault="00362524" w:rsidP="00362524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362524" w:rsidRPr="002A3A44" w:rsidRDefault="00362524" w:rsidP="00362524">
      <w:pPr>
        <w:rPr>
          <w:sz w:val="22"/>
          <w:szCs w:val="22"/>
        </w:rPr>
      </w:pPr>
    </w:p>
    <w:p w:rsidR="00362524" w:rsidRPr="002A3A44" w:rsidRDefault="00362524" w:rsidP="00362524">
      <w:pPr>
        <w:rPr>
          <w:sz w:val="22"/>
          <w:szCs w:val="22"/>
        </w:rPr>
      </w:pPr>
    </w:p>
    <w:p w:rsidR="00362524" w:rsidRPr="002A3A44" w:rsidRDefault="00362524" w:rsidP="00362524">
      <w:pPr>
        <w:pStyle w:val="Akti"/>
        <w:keepNext w:val="0"/>
        <w:rPr>
          <w:lang w:val="sq-AL"/>
        </w:rPr>
      </w:pPr>
    </w:p>
    <w:p w:rsidR="00362524" w:rsidRPr="002A3A44" w:rsidRDefault="00362524" w:rsidP="00362524">
      <w:pPr>
        <w:pStyle w:val="Akti"/>
        <w:keepNext w:val="0"/>
        <w:rPr>
          <w:lang w:val="sq-AL"/>
        </w:rPr>
      </w:pPr>
    </w:p>
    <w:p w:rsidR="00362524" w:rsidRPr="008A7D7A" w:rsidRDefault="00362524" w:rsidP="00362524">
      <w:pPr>
        <w:pStyle w:val="Akti"/>
        <w:keepNext w:val="0"/>
        <w:rPr>
          <w:sz w:val="18"/>
          <w:szCs w:val="18"/>
          <w:lang w:val="sq-AL"/>
        </w:rPr>
      </w:pPr>
    </w:p>
    <w:p w:rsidR="00362524" w:rsidRPr="008A7D7A" w:rsidRDefault="00362524" w:rsidP="00362524">
      <w:pPr>
        <w:pStyle w:val="Akti"/>
        <w:keepNext w:val="0"/>
        <w:rPr>
          <w:sz w:val="18"/>
          <w:szCs w:val="18"/>
          <w:lang w:val="sq-AL"/>
        </w:rPr>
      </w:pPr>
    </w:p>
    <w:p w:rsidR="00362524" w:rsidRPr="008A7D7A" w:rsidRDefault="00362524" w:rsidP="00362524">
      <w:pPr>
        <w:pStyle w:val="Akti"/>
        <w:keepNext w:val="0"/>
        <w:rPr>
          <w:sz w:val="18"/>
          <w:szCs w:val="18"/>
          <w:lang w:val="sq-AL"/>
        </w:rPr>
      </w:pPr>
    </w:p>
    <w:p w:rsidR="00362524" w:rsidRPr="008A7D7A" w:rsidRDefault="00362524" w:rsidP="00362524">
      <w:pPr>
        <w:pStyle w:val="Akti"/>
        <w:keepNext w:val="0"/>
        <w:rPr>
          <w:sz w:val="18"/>
          <w:szCs w:val="18"/>
          <w:lang w:val="sq-AL"/>
        </w:rPr>
      </w:pPr>
    </w:p>
    <w:p w:rsidR="00362524" w:rsidRDefault="00362524" w:rsidP="00362524">
      <w:pPr>
        <w:pStyle w:val="Akti"/>
        <w:keepNext w:val="0"/>
        <w:jc w:val="both"/>
        <w:rPr>
          <w:sz w:val="18"/>
          <w:szCs w:val="18"/>
          <w:lang w:val="sq-AL"/>
        </w:rPr>
        <w:sectPr w:rsidR="00362524" w:rsidSect="00362524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:rsidR="00362524" w:rsidRDefault="00362524" w:rsidP="00362524">
      <w:pPr>
        <w:jc w:val="center"/>
        <w:rPr>
          <w:rFonts w:ascii="CG Times" w:hAnsi="CG Times" w:cs="Arial"/>
          <w:b/>
          <w:bCs/>
          <w:sz w:val="18"/>
          <w:szCs w:val="18"/>
          <w:lang w:val="en-US"/>
        </w:rPr>
      </w:pPr>
      <w:r>
        <w:rPr>
          <w:rFonts w:ascii="CG Times" w:hAnsi="CG Times" w:cs="Arial"/>
          <w:b/>
          <w:bCs/>
          <w:sz w:val="18"/>
          <w:szCs w:val="18"/>
          <w:lang w:val="en-US"/>
        </w:rPr>
        <w:lastRenderedPageBreak/>
        <w:t>FORMULARË PËR TRANSFERIMIN E PRONAVE  TË PALUAJTSHME SHTETË</w:t>
      </w:r>
      <w:r w:rsidRPr="003404B3">
        <w:rPr>
          <w:rFonts w:ascii="CG Times" w:hAnsi="CG Times" w:cs="Arial"/>
          <w:b/>
          <w:bCs/>
          <w:sz w:val="18"/>
          <w:szCs w:val="18"/>
          <w:lang w:val="en-US"/>
        </w:rPr>
        <w:t>RORE</w:t>
      </w:r>
    </w:p>
    <w:p w:rsidR="00362524" w:rsidRPr="008745CE" w:rsidRDefault="00362524" w:rsidP="00362524">
      <w:pPr>
        <w:pStyle w:val="Akti"/>
        <w:keepNext w:val="0"/>
        <w:rPr>
          <w:b w:val="0"/>
          <w:sz w:val="18"/>
          <w:szCs w:val="18"/>
          <w:lang w:val="sq-AL"/>
        </w:rPr>
      </w:pPr>
      <w:r>
        <w:rPr>
          <w:rFonts w:cs="Arial"/>
          <w:b w:val="0"/>
          <w:caps w:val="0"/>
          <w:sz w:val="18"/>
          <w:szCs w:val="18"/>
          <w:lang w:val="en-US"/>
        </w:rPr>
        <w:t xml:space="preserve">    (S</w:t>
      </w:r>
      <w:r w:rsidRPr="008745CE">
        <w:rPr>
          <w:rFonts w:cs="Arial"/>
          <w:b w:val="0"/>
          <w:caps w:val="0"/>
          <w:sz w:val="18"/>
          <w:szCs w:val="18"/>
          <w:lang w:val="en-US"/>
        </w:rPr>
        <w:t>ipas   inventarizimit  të  pronave   të veçanta  të  tipit: pyje,</w:t>
      </w:r>
      <w:r>
        <w:rPr>
          <w:rFonts w:cs="Arial"/>
          <w:b w:val="0"/>
          <w:caps w:val="0"/>
          <w:sz w:val="18"/>
          <w:szCs w:val="18"/>
          <w:lang w:val="en-US"/>
        </w:rPr>
        <w:t xml:space="preserve"> </w:t>
      </w:r>
      <w:r w:rsidRPr="008745CE">
        <w:rPr>
          <w:rFonts w:cs="Arial"/>
          <w:b w:val="0"/>
          <w:caps w:val="0"/>
          <w:sz w:val="18"/>
          <w:szCs w:val="18"/>
          <w:lang w:val="en-US"/>
        </w:rPr>
        <w:t>kullota,</w:t>
      </w:r>
      <w:r>
        <w:rPr>
          <w:rFonts w:cs="Arial"/>
          <w:b w:val="0"/>
          <w:caps w:val="0"/>
          <w:sz w:val="18"/>
          <w:szCs w:val="18"/>
          <w:lang w:val="en-US"/>
        </w:rPr>
        <w:t xml:space="preserve"> </w:t>
      </w:r>
      <w:r w:rsidRPr="008745CE">
        <w:rPr>
          <w:rFonts w:cs="Arial"/>
          <w:b w:val="0"/>
          <w:caps w:val="0"/>
          <w:sz w:val="18"/>
          <w:szCs w:val="18"/>
          <w:lang w:val="en-US"/>
        </w:rPr>
        <w:t>livadhe,</w:t>
      </w:r>
      <w:r>
        <w:rPr>
          <w:rFonts w:cs="Arial"/>
          <w:b w:val="0"/>
          <w:caps w:val="0"/>
          <w:sz w:val="18"/>
          <w:szCs w:val="18"/>
          <w:lang w:val="en-US"/>
        </w:rPr>
        <w:t xml:space="preserve"> </w:t>
      </w:r>
      <w:r w:rsidRPr="008745CE">
        <w:rPr>
          <w:rFonts w:cs="Arial"/>
          <w:b w:val="0"/>
          <w:caps w:val="0"/>
          <w:sz w:val="18"/>
          <w:szCs w:val="18"/>
          <w:lang w:val="en-US"/>
        </w:rPr>
        <w:t>shkëmbore etj</w:t>
      </w:r>
      <w:r>
        <w:rPr>
          <w:rFonts w:cs="Arial"/>
          <w:b w:val="0"/>
          <w:caps w:val="0"/>
          <w:sz w:val="18"/>
          <w:szCs w:val="18"/>
          <w:lang w:val="en-US"/>
        </w:rPr>
        <w:t>.</w:t>
      </w:r>
      <w:r w:rsidRPr="008745CE">
        <w:rPr>
          <w:rFonts w:cs="Arial"/>
          <w:b w:val="0"/>
          <w:caps w:val="0"/>
          <w:sz w:val="18"/>
          <w:szCs w:val="18"/>
          <w:lang w:val="en-US"/>
        </w:rPr>
        <w:t>)</w:t>
      </w:r>
    </w:p>
    <w:tbl>
      <w:tblPr>
        <w:tblW w:w="5032" w:type="pct"/>
        <w:jc w:val="center"/>
        <w:tblLayout w:type="fixed"/>
        <w:tblLook w:val="0000" w:firstRow="0" w:lastRow="0" w:firstColumn="0" w:lastColumn="0" w:noHBand="0" w:noVBand="0"/>
      </w:tblPr>
      <w:tblGrid>
        <w:gridCol w:w="790"/>
        <w:gridCol w:w="987"/>
        <w:gridCol w:w="2702"/>
        <w:gridCol w:w="1514"/>
        <w:gridCol w:w="1025"/>
        <w:gridCol w:w="1139"/>
        <w:gridCol w:w="1082"/>
        <w:gridCol w:w="1368"/>
        <w:gridCol w:w="1254"/>
        <w:gridCol w:w="1483"/>
        <w:gridCol w:w="967"/>
      </w:tblGrid>
      <w:tr w:rsidR="00362524" w:rsidRPr="00362524">
        <w:trPr>
          <w:trHeight w:val="464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 </w:t>
            </w:r>
          </w:p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 xml:space="preserve">Institucioni qendror:  </w:t>
            </w:r>
            <w:r w:rsidRPr="00362524">
              <w:rPr>
                <w:bCs/>
                <w:sz w:val="16"/>
                <w:szCs w:val="16"/>
              </w:rPr>
              <w:t>MMPAU</w:t>
            </w:r>
          </w:p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 xml:space="preserve">  Komuna</w:t>
            </w:r>
            <w:r w:rsidRPr="00362524">
              <w:rPr>
                <w:b/>
                <w:sz w:val="16"/>
                <w:szCs w:val="16"/>
              </w:rPr>
              <w:t xml:space="preserve">: </w:t>
            </w:r>
            <w:r w:rsidRPr="00362524">
              <w:rPr>
                <w:b/>
                <w:bCs/>
                <w:sz w:val="16"/>
                <w:szCs w:val="16"/>
              </w:rPr>
              <w:t>Memaliaj Fshat</w:t>
            </w:r>
          </w:p>
        </w:tc>
      </w:tr>
      <w:tr w:rsidR="00362524" w:rsidRPr="00362524">
        <w:trPr>
          <w:trHeight w:val="270"/>
          <w:jc w:val="center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362524">
              <w:rPr>
                <w:b/>
                <w:iCs/>
                <w:sz w:val="16"/>
                <w:szCs w:val="16"/>
                <w:lang w:val="en-US"/>
              </w:rPr>
              <w:t>Nr.</w:t>
            </w:r>
          </w:p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362524">
              <w:rPr>
                <w:b/>
                <w:iCs/>
                <w:sz w:val="16"/>
                <w:szCs w:val="16"/>
                <w:lang w:val="en-US"/>
              </w:rPr>
              <w:t>rendor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362524">
              <w:rPr>
                <w:b/>
                <w:iCs/>
                <w:sz w:val="16"/>
                <w:szCs w:val="16"/>
                <w:lang w:val="en-US"/>
              </w:rPr>
              <w:t>Nr. i pasurisë sipas inventarit</w:t>
            </w:r>
          </w:p>
        </w:tc>
        <w:tc>
          <w:tcPr>
            <w:tcW w:w="9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  <w:lang w:val="it-IT"/>
              </w:rPr>
            </w:pPr>
            <w:r w:rsidRPr="00362524">
              <w:rPr>
                <w:b/>
                <w:iCs/>
                <w:sz w:val="16"/>
                <w:szCs w:val="16"/>
                <w:lang w:val="it-IT"/>
              </w:rPr>
              <w:t>Emri i ekonomisë pyjore dhe kullosore (EPK)</w:t>
            </w:r>
          </w:p>
        </w:tc>
        <w:tc>
          <w:tcPr>
            <w:tcW w:w="5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</w:rPr>
            </w:pPr>
            <w:r w:rsidRPr="00362524">
              <w:rPr>
                <w:b/>
                <w:iCs/>
                <w:sz w:val="16"/>
                <w:szCs w:val="16"/>
              </w:rPr>
              <w:t>Emri i ngastrës, sipas emërtesës popullore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362524">
              <w:rPr>
                <w:b/>
                <w:iCs/>
                <w:sz w:val="16"/>
                <w:szCs w:val="16"/>
                <w:lang w:val="en-US"/>
              </w:rPr>
              <w:t>Numri i ngastrës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362524">
              <w:rPr>
                <w:b/>
                <w:iCs/>
                <w:sz w:val="16"/>
                <w:szCs w:val="16"/>
                <w:lang w:val="en-US"/>
              </w:rPr>
              <w:t>Destinacioni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362524">
              <w:rPr>
                <w:b/>
                <w:iCs/>
                <w:sz w:val="16"/>
                <w:szCs w:val="16"/>
                <w:lang w:val="en-US"/>
              </w:rPr>
              <w:t>Sipërfaqja në ha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362524">
              <w:rPr>
                <w:b/>
                <w:iCs/>
                <w:sz w:val="16"/>
                <w:szCs w:val="16"/>
                <w:lang w:val="en-US"/>
              </w:rPr>
              <w:t>Funksioni për të cilin përdoret prona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362524">
              <w:rPr>
                <w:b/>
                <w:iCs/>
                <w:sz w:val="16"/>
                <w:szCs w:val="16"/>
                <w:lang w:val="en-US"/>
              </w:rPr>
              <w:t>Institucioni, enti me përgjegjësi administrative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362524">
              <w:rPr>
                <w:b/>
                <w:iCs/>
                <w:sz w:val="16"/>
                <w:szCs w:val="16"/>
                <w:lang w:val="en-US"/>
              </w:rPr>
              <w:t>Enti përdorues , statusi juridik i përdorimit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362524">
              <w:rPr>
                <w:b/>
                <w:iCs/>
                <w:sz w:val="16"/>
                <w:szCs w:val="16"/>
                <w:lang w:val="en-US"/>
              </w:rPr>
              <w:t>Të dhëna të tjera</w:t>
            </w:r>
          </w:p>
        </w:tc>
      </w:tr>
      <w:tr w:rsidR="00362524" w:rsidRPr="00362524">
        <w:trPr>
          <w:trHeight w:val="270"/>
          <w:jc w:val="center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362524" w:rsidRPr="00362524">
        <w:trPr>
          <w:trHeight w:val="339"/>
          <w:jc w:val="center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</w:p>
        </w:tc>
      </w:tr>
      <w:tr w:rsidR="00362524" w:rsidRPr="00362524">
        <w:trPr>
          <w:trHeight w:val="240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11</w:t>
            </w:r>
          </w:p>
        </w:tc>
      </w:tr>
      <w:tr w:rsidR="00362524" w:rsidRPr="00362524">
        <w:trPr>
          <w:trHeight w:val="111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95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E.K Buz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Ceril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135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Kullotje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MMPAU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Komuna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 </w:t>
            </w:r>
          </w:p>
        </w:tc>
      </w:tr>
      <w:tr w:rsidR="00362524" w:rsidRPr="00362524">
        <w:trPr>
          <w:trHeight w:val="233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97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E.K Dukaj-Luzat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Memaliaj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154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Kullotje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 </w:t>
            </w:r>
          </w:p>
        </w:tc>
      </w:tr>
      <w:tr w:rsidR="00362524" w:rsidRPr="00362524">
        <w:trPr>
          <w:trHeight w:val="96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98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E.K Qender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Kodra Bofeng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35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96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Kullotje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 </w:t>
            </w:r>
          </w:p>
        </w:tc>
      </w:tr>
      <w:tr w:rsidR="00362524" w:rsidRPr="00362524">
        <w:trPr>
          <w:trHeight w:val="157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99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E.K Qender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Vilat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36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84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Kullotje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 </w:t>
            </w:r>
          </w:p>
        </w:tc>
      </w:tr>
      <w:tr w:rsidR="00362524" w:rsidRPr="00362524">
        <w:trPr>
          <w:trHeight w:val="113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E.K Qender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Gropat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37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154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Kullotje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 </w:t>
            </w:r>
          </w:p>
        </w:tc>
      </w:tr>
      <w:tr w:rsidR="00362524" w:rsidRPr="00362524">
        <w:trPr>
          <w:trHeight w:val="96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102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bCs/>
                <w:sz w:val="16"/>
                <w:szCs w:val="16"/>
              </w:rPr>
            </w:pPr>
            <w:r w:rsidRPr="00362524">
              <w:rPr>
                <w:bCs/>
                <w:sz w:val="16"/>
                <w:szCs w:val="16"/>
              </w:rPr>
              <w:t>E.K Qender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Shkalla Dames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88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Kullotje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 </w:t>
            </w:r>
          </w:p>
        </w:tc>
      </w:tr>
      <w:tr w:rsidR="00362524" w:rsidRPr="00362524">
        <w:trPr>
          <w:trHeight w:val="96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103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E.K Qender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Qisha Samata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130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Kullotje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 </w:t>
            </w:r>
          </w:p>
        </w:tc>
      </w:tr>
      <w:tr w:rsidR="00362524" w:rsidRPr="00362524">
        <w:trPr>
          <w:trHeight w:val="96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104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E.K Qender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Perroi Madh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87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Kullotje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 </w:t>
            </w:r>
          </w:p>
        </w:tc>
      </w:tr>
      <w:tr w:rsidR="00362524" w:rsidRPr="00362524">
        <w:trPr>
          <w:trHeight w:val="96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105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E.K Qender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Shembi Kallemb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34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95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Kullotje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"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362524" w:rsidRDefault="00362524" w:rsidP="00362524">
            <w:pPr>
              <w:pStyle w:val="Tabele"/>
              <w:rPr>
                <w:sz w:val="16"/>
                <w:szCs w:val="16"/>
              </w:rPr>
            </w:pPr>
            <w:r w:rsidRPr="00362524">
              <w:rPr>
                <w:sz w:val="16"/>
                <w:szCs w:val="16"/>
              </w:rPr>
              <w:t> </w:t>
            </w:r>
          </w:p>
        </w:tc>
      </w:tr>
    </w:tbl>
    <w:p w:rsidR="00362524" w:rsidRPr="008A7D7A" w:rsidRDefault="00362524" w:rsidP="00362524">
      <w:pPr>
        <w:pStyle w:val="Akti"/>
        <w:keepNext w:val="0"/>
        <w:rPr>
          <w:sz w:val="18"/>
          <w:szCs w:val="18"/>
          <w:lang w:val="sq-AL"/>
        </w:rPr>
      </w:pPr>
    </w:p>
    <w:p w:rsidR="00362524" w:rsidRPr="008A7D7A" w:rsidRDefault="00362524" w:rsidP="00362524">
      <w:pPr>
        <w:pStyle w:val="Akti"/>
        <w:keepNext w:val="0"/>
        <w:rPr>
          <w:sz w:val="18"/>
          <w:szCs w:val="18"/>
          <w:lang w:val="sq-AL"/>
        </w:rPr>
      </w:pPr>
    </w:p>
    <w:p w:rsidR="00362524" w:rsidRPr="008A7D7A" w:rsidRDefault="00362524" w:rsidP="00362524">
      <w:pPr>
        <w:pStyle w:val="Akti"/>
        <w:keepNext w:val="0"/>
        <w:rPr>
          <w:sz w:val="18"/>
          <w:szCs w:val="18"/>
          <w:lang w:val="sq-AL"/>
        </w:rPr>
      </w:pPr>
    </w:p>
    <w:p w:rsidR="00362524" w:rsidRDefault="00362524" w:rsidP="00362524">
      <w:pPr>
        <w:pStyle w:val="Akti"/>
        <w:keepNext w:val="0"/>
        <w:rPr>
          <w:sz w:val="18"/>
          <w:szCs w:val="18"/>
          <w:lang w:val="sq-AL"/>
        </w:rPr>
        <w:sectPr w:rsidR="00362524" w:rsidSect="00362524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7380" w:type="dxa"/>
        <w:tblInd w:w="88" w:type="dxa"/>
        <w:tblLook w:val="0000" w:firstRow="0" w:lastRow="0" w:firstColumn="0" w:lastColumn="0" w:noHBand="0" w:noVBand="0"/>
      </w:tblPr>
      <w:tblGrid>
        <w:gridCol w:w="2020"/>
        <w:gridCol w:w="2800"/>
        <w:gridCol w:w="2560"/>
      </w:tblGrid>
      <w:tr w:rsidR="00362524" w:rsidRPr="00EE4F65">
        <w:trPr>
          <w:trHeight w:val="255"/>
        </w:trPr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2524" w:rsidRPr="00EE4F65" w:rsidRDefault="00362524" w:rsidP="00362524">
            <w:pPr>
              <w:rPr>
                <w:rFonts w:ascii="CG Times" w:hAnsi="CG Times" w:cs="Arial"/>
                <w:bCs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lastRenderedPageBreak/>
              <w:t xml:space="preserve"> Njësia e qeverisjes vendore:</w:t>
            </w:r>
            <w:r w:rsidRPr="00EE4F65">
              <w:rPr>
                <w:rFonts w:ascii="CG Times" w:hAnsi="CG Times" w:cs="Arial"/>
                <w:sz w:val="22"/>
                <w:szCs w:val="22"/>
              </w:rPr>
              <w:t xml:space="preserve">  komuna </w:t>
            </w:r>
            <w:r w:rsidRPr="00EE4F65">
              <w:rPr>
                <w:rFonts w:ascii="CG Times" w:hAnsi="CG Times" w:cs="Arial"/>
                <w:bCs/>
                <w:sz w:val="22"/>
                <w:szCs w:val="22"/>
              </w:rPr>
              <w:t xml:space="preserve">Memaliaj Fshat </w:t>
            </w:r>
            <w:r>
              <w:rPr>
                <w:rFonts w:ascii="CG Times" w:hAnsi="CG Times" w:cs="Arial"/>
                <w:bCs/>
                <w:sz w:val="22"/>
                <w:szCs w:val="22"/>
              </w:rPr>
              <w:t xml:space="preserve">             </w:t>
            </w:r>
            <w:r w:rsidRPr="00EE4F65">
              <w:rPr>
                <w:rFonts w:ascii="CG Times" w:hAnsi="CG Times" w:cs="Arial"/>
                <w:bCs/>
                <w:sz w:val="22"/>
                <w:szCs w:val="22"/>
              </w:rPr>
              <w:t>Lidhja</w:t>
            </w:r>
            <w:r>
              <w:rPr>
                <w:rFonts w:ascii="CG Times" w:hAnsi="CG Times" w:cs="Arial"/>
                <w:bCs/>
                <w:sz w:val="22"/>
                <w:szCs w:val="22"/>
              </w:rPr>
              <w:t xml:space="preserve"> nr.</w:t>
            </w:r>
            <w:r w:rsidRPr="00EE4F65">
              <w:rPr>
                <w:rFonts w:ascii="CG Times" w:hAnsi="CG Times" w:cs="Arial"/>
                <w:bCs/>
                <w:sz w:val="22"/>
                <w:szCs w:val="22"/>
              </w:rPr>
              <w:t>1</w:t>
            </w:r>
          </w:p>
        </w:tc>
      </w:tr>
      <w:tr w:rsidR="00362524" w:rsidRPr="00EE4F65">
        <w:trPr>
          <w:trHeight w:val="87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E4F65">
              <w:rPr>
                <w:rFonts w:ascii="CG Times" w:hAnsi="CG Times" w:cs="Arial"/>
                <w:b/>
                <w:sz w:val="22"/>
                <w:szCs w:val="22"/>
              </w:rPr>
              <w:t>Numrat e pronave n</w:t>
            </w:r>
            <w:r>
              <w:rPr>
                <w:rFonts w:ascii="CG Times" w:hAnsi="CG Times" w:cs="Arial"/>
                <w:b/>
                <w:sz w:val="22"/>
                <w:szCs w:val="22"/>
              </w:rPr>
              <w:t>ë</w:t>
            </w:r>
            <w:r w:rsidRPr="00EE4F65">
              <w:rPr>
                <w:rFonts w:ascii="CG Times" w:hAnsi="CG Times" w:cs="Arial"/>
                <w:b/>
                <w:sz w:val="22"/>
                <w:szCs w:val="22"/>
              </w:rPr>
              <w:t xml:space="preserve"> list</w:t>
            </w:r>
            <w:r>
              <w:rPr>
                <w:rFonts w:ascii="CG Times" w:hAnsi="CG Times" w:cs="Arial"/>
                <w:b/>
                <w:sz w:val="22"/>
                <w:szCs w:val="22"/>
              </w:rPr>
              <w:t>ë</w:t>
            </w:r>
            <w:r w:rsidRPr="00EE4F65">
              <w:rPr>
                <w:rFonts w:ascii="CG Times" w:hAnsi="CG Times" w:cs="Arial"/>
                <w:b/>
                <w:sz w:val="22"/>
                <w:szCs w:val="22"/>
              </w:rPr>
              <w:t>n e inventarit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E4F65">
              <w:rPr>
                <w:rFonts w:ascii="CG Times" w:hAnsi="CG Times" w:cs="Arial"/>
                <w:b/>
                <w:sz w:val="22"/>
                <w:szCs w:val="22"/>
              </w:rPr>
              <w:t>Fusha e p</w:t>
            </w:r>
            <w:r>
              <w:rPr>
                <w:rFonts w:ascii="CG Times" w:hAnsi="CG Times" w:cs="Arial"/>
                <w:b/>
                <w:sz w:val="22"/>
                <w:szCs w:val="22"/>
              </w:rPr>
              <w:t>ë</w:t>
            </w:r>
            <w:r w:rsidRPr="00EE4F65">
              <w:rPr>
                <w:rFonts w:ascii="CG Times" w:hAnsi="CG Times" w:cs="Arial"/>
                <w:b/>
                <w:sz w:val="22"/>
                <w:szCs w:val="22"/>
              </w:rPr>
              <w:t>rdorimit t</w:t>
            </w:r>
            <w:r>
              <w:rPr>
                <w:rFonts w:ascii="CG Times" w:hAnsi="CG Times" w:cs="Arial"/>
                <w:b/>
                <w:sz w:val="22"/>
                <w:szCs w:val="22"/>
              </w:rPr>
              <w:t>ë</w:t>
            </w:r>
            <w:r w:rsidRPr="00EE4F65">
              <w:rPr>
                <w:rFonts w:ascii="CG Times" w:hAnsi="CG Times" w:cs="Arial"/>
                <w:b/>
                <w:sz w:val="22"/>
                <w:szCs w:val="22"/>
              </w:rPr>
              <w:t xml:space="preserve"> pron</w:t>
            </w:r>
            <w:r>
              <w:rPr>
                <w:rFonts w:ascii="CG Times" w:hAnsi="CG Times" w:cs="Arial"/>
                <w:b/>
                <w:sz w:val="22"/>
                <w:szCs w:val="22"/>
              </w:rPr>
              <w:t>ë</w:t>
            </w:r>
            <w:r w:rsidRPr="00EE4F65">
              <w:rPr>
                <w:rFonts w:ascii="CG Times" w:hAnsi="CG Times" w:cs="Arial"/>
                <w:b/>
                <w:sz w:val="22"/>
                <w:szCs w:val="22"/>
              </w:rPr>
              <w:t xml:space="preserve">s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E4F65">
              <w:rPr>
                <w:rFonts w:ascii="CG Times" w:hAnsi="CG Times" w:cs="Arial"/>
                <w:b/>
                <w:sz w:val="22"/>
                <w:szCs w:val="22"/>
              </w:rPr>
              <w:t>Lloji i transferimit</w:t>
            </w:r>
          </w:p>
        </w:tc>
      </w:tr>
      <w:tr w:rsidR="00362524" w:rsidRPr="00EE4F6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E4F65">
              <w:rPr>
                <w:rFonts w:ascii="CG Times" w:hAnsi="CG Times" w:cs="Arial"/>
                <w:sz w:val="22"/>
                <w:szCs w:val="22"/>
              </w:rPr>
              <w:t>95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E4F65">
              <w:rPr>
                <w:rFonts w:ascii="CG Times" w:hAnsi="CG Times" w:cs="Arial"/>
                <w:sz w:val="22"/>
                <w:szCs w:val="22"/>
              </w:rPr>
              <w:t>Kullot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t>Në pronë</w:t>
            </w:r>
            <w:r w:rsidRPr="00EE4F65">
              <w:rPr>
                <w:rFonts w:ascii="CG Times" w:hAnsi="CG Times" w:cs="Arial"/>
                <w:sz w:val="22"/>
                <w:szCs w:val="22"/>
              </w:rPr>
              <w:t>si</w:t>
            </w:r>
          </w:p>
        </w:tc>
      </w:tr>
      <w:tr w:rsidR="00362524" w:rsidRPr="00EE4F6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E4F65">
              <w:rPr>
                <w:rFonts w:ascii="CG Times" w:hAnsi="CG Times" w:cs="Arial"/>
                <w:sz w:val="22"/>
                <w:szCs w:val="22"/>
              </w:rPr>
              <w:t>97-100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E4F65">
              <w:rPr>
                <w:rFonts w:ascii="CG Times" w:hAnsi="CG Times" w:cs="Arial"/>
                <w:sz w:val="22"/>
                <w:szCs w:val="22"/>
              </w:rPr>
              <w:t>Kullot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2524" w:rsidRDefault="00362524" w:rsidP="00362524">
            <w:pPr>
              <w:jc w:val="center"/>
            </w:pPr>
            <w:r w:rsidRPr="006151E7">
              <w:rPr>
                <w:rFonts w:ascii="CG Times" w:hAnsi="CG Times" w:cs="Arial"/>
                <w:sz w:val="22"/>
                <w:szCs w:val="22"/>
              </w:rPr>
              <w:t>Në</w:t>
            </w:r>
            <w:r>
              <w:rPr>
                <w:rFonts w:ascii="CG Times" w:hAnsi="CG Times" w:cs="Arial"/>
                <w:sz w:val="22"/>
                <w:szCs w:val="22"/>
              </w:rPr>
              <w:t xml:space="preserve"> pronë</w:t>
            </w:r>
            <w:r w:rsidRPr="006151E7">
              <w:rPr>
                <w:rFonts w:ascii="CG Times" w:hAnsi="CG Times" w:cs="Arial"/>
                <w:sz w:val="22"/>
                <w:szCs w:val="22"/>
              </w:rPr>
              <w:t>si</w:t>
            </w:r>
          </w:p>
        </w:tc>
      </w:tr>
      <w:tr w:rsidR="00362524" w:rsidRPr="00EE4F6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E4F65">
              <w:rPr>
                <w:rFonts w:ascii="CG Times" w:hAnsi="CG Times" w:cs="Arial"/>
                <w:sz w:val="22"/>
                <w:szCs w:val="22"/>
              </w:rPr>
              <w:t>102-105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E4F65">
              <w:rPr>
                <w:rFonts w:ascii="CG Times" w:hAnsi="CG Times" w:cs="Arial"/>
                <w:sz w:val="22"/>
                <w:szCs w:val="22"/>
              </w:rPr>
              <w:t>Kullot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2524" w:rsidRDefault="00362524" w:rsidP="00362524">
            <w:pPr>
              <w:jc w:val="center"/>
            </w:pPr>
            <w:r w:rsidRPr="006151E7">
              <w:rPr>
                <w:rFonts w:ascii="CG Times" w:hAnsi="CG Times" w:cs="Arial"/>
                <w:sz w:val="22"/>
                <w:szCs w:val="22"/>
              </w:rPr>
              <w:t>Në</w:t>
            </w:r>
            <w:r>
              <w:rPr>
                <w:rFonts w:ascii="CG Times" w:hAnsi="CG Times" w:cs="Arial"/>
                <w:sz w:val="22"/>
                <w:szCs w:val="22"/>
              </w:rPr>
              <w:t xml:space="preserve"> pronë</w:t>
            </w:r>
            <w:r w:rsidRPr="006151E7">
              <w:rPr>
                <w:rFonts w:ascii="CG Times" w:hAnsi="CG Times" w:cs="Arial"/>
                <w:sz w:val="22"/>
                <w:szCs w:val="22"/>
              </w:rPr>
              <w:t>si</w:t>
            </w:r>
          </w:p>
        </w:tc>
      </w:tr>
      <w:tr w:rsidR="00362524" w:rsidRPr="00EE4F6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E4F65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E4F65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524" w:rsidRPr="00EE4F65" w:rsidRDefault="00362524" w:rsidP="00362524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E4F65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</w:tr>
    </w:tbl>
    <w:p w:rsidR="00362524" w:rsidRPr="002A3A44" w:rsidRDefault="00362524" w:rsidP="00362524">
      <w:pPr>
        <w:pStyle w:val="Akti"/>
        <w:keepNext w:val="0"/>
        <w:rPr>
          <w:lang w:val="sq-AL"/>
        </w:rPr>
      </w:pPr>
    </w:p>
    <w:sectPr w:rsidR="00362524" w:rsidRPr="002A3A44" w:rsidSect="00362524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25B12">
      <w:r>
        <w:separator/>
      </w:r>
    </w:p>
  </w:endnote>
  <w:endnote w:type="continuationSeparator" w:id="0">
    <w:p w:rsidR="00000000" w:rsidRDefault="00225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25B12">
      <w:r>
        <w:separator/>
      </w:r>
    </w:p>
  </w:footnote>
  <w:footnote w:type="continuationSeparator" w:id="0">
    <w:p w:rsidR="00000000" w:rsidRDefault="00225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2524"/>
    <w:rsid w:val="00155FB1"/>
    <w:rsid w:val="00225B12"/>
    <w:rsid w:val="0036252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9635F0-9672-4234-A471-2A157AEB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524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36252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2019-03-16T19:10:00Z</dcterms:created>
  <dcterms:modified xsi:type="dcterms:W3CDTF">2019-03-16T19:10:00Z</dcterms:modified>
</cp:coreProperties>
</file>