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2D4" w:rsidRDefault="003A12D4" w:rsidP="003A12D4">
      <w:pPr>
        <w:pStyle w:val="Akti"/>
      </w:pPr>
      <w:bookmarkStart w:id="0" w:name="_GoBack"/>
      <w:bookmarkEnd w:id="0"/>
      <w:r>
        <w:t>Vendim</w:t>
      </w:r>
    </w:p>
    <w:p w:rsidR="003A12D4" w:rsidRDefault="003A12D4" w:rsidP="003A12D4">
      <w:pPr>
        <w:pStyle w:val="NumriData"/>
      </w:pPr>
      <w:r>
        <w:t>Nr.982, datë 2.7.2008</w:t>
      </w:r>
    </w:p>
    <w:p w:rsidR="003A12D4" w:rsidRDefault="003A12D4" w:rsidP="003A12D4">
      <w:pPr>
        <w:pStyle w:val="Paragrafi"/>
        <w:jc w:val="center"/>
      </w:pPr>
    </w:p>
    <w:p w:rsidR="003A12D4" w:rsidRDefault="003A12D4" w:rsidP="003A12D4">
      <w:pPr>
        <w:pStyle w:val="Titulli"/>
      </w:pPr>
      <w:r>
        <w:t>Për miratimin e listës përfundimtare të pronave, pyje dhe kullota, që do të transferohen në pronësi të njësisë së qeverisjes vendore, komuna Topojë, të qarkut të Fierit</w:t>
      </w:r>
    </w:p>
    <w:p w:rsidR="003A12D4" w:rsidRDefault="003A12D4" w:rsidP="003A12D4">
      <w:pPr>
        <w:pStyle w:val="Paragrafi"/>
      </w:pPr>
    </w:p>
    <w:p w:rsidR="003A12D4" w:rsidRDefault="003A12D4" w:rsidP="003A12D4">
      <w:pPr>
        <w:pStyle w:val="BazLigjPropozues"/>
      </w:pPr>
      <w:r>
        <w:t>Në mbështetje të nenit 100 të kushtetutës, të neneve 2, 3 e 17 të ligjit nr.8744, datë 22.2.2001 “Për transferimin e pronave të paluajtshme publik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3A12D4" w:rsidRDefault="003A12D4" w:rsidP="003A12D4">
      <w:pPr>
        <w:pStyle w:val="Paragrafi"/>
      </w:pPr>
    </w:p>
    <w:p w:rsidR="003A12D4" w:rsidRDefault="003A12D4" w:rsidP="003A12D4">
      <w:pPr>
        <w:pStyle w:val="VENDOSI"/>
      </w:pPr>
      <w:r>
        <w:t>Vendosi:</w:t>
      </w:r>
    </w:p>
    <w:p w:rsidR="003A12D4" w:rsidRDefault="003A12D4" w:rsidP="003A12D4">
      <w:pPr>
        <w:pStyle w:val="Paragrafi"/>
      </w:pPr>
    </w:p>
    <w:p w:rsidR="003A12D4" w:rsidRDefault="003A12D4" w:rsidP="003A12D4">
      <w:pPr>
        <w:pStyle w:val="Paragrafi"/>
      </w:pPr>
      <w:r>
        <w:t>1. Miratimin e listës përfundimtare të pronave të paluajtshme publike, pyje dhe kullota, që janë në juridiksionin, territorial dhe administrativ, të njësisë së qeverisjes vendore, komuna Topojë, të qarkut të Fierit, që do t’i transferohen në pronësi kësaj njësie.</w:t>
      </w:r>
    </w:p>
    <w:p w:rsidR="003A12D4" w:rsidRDefault="003A12D4" w:rsidP="003A12D4">
      <w:pPr>
        <w:pStyle w:val="Paragrafi"/>
      </w:pPr>
      <w:r>
        <w:t>2. Lista përfundimtare e pronave të paluajtshme, pyje dhe kullota, me 3 (tri) fletë, që përfundon me numrin rendor 75 (shtatëdhjetë e pesë), dhe lidhja nr.1 i bashkëlidhen këtij vendimi dhe janë pjesë përbërëse e tij.</w:t>
      </w:r>
    </w:p>
    <w:p w:rsidR="003A12D4" w:rsidRDefault="003A12D4" w:rsidP="003A12D4">
      <w:pPr>
        <w:pStyle w:val="Paragrafi"/>
      </w:pPr>
      <w:r>
        <w:t>3. Ngarkohen Ministria e Brendshme, Ministria e Mjedisit, Pyjeve dhe Administrimit të Ujërave, kryeregjistruesi i Pasurive të Paluajtshme të Republikës së Shqipërisë dhe komuna Topojë për zbatimin e këtij vendimi.</w:t>
      </w:r>
    </w:p>
    <w:p w:rsidR="003A12D4" w:rsidRPr="0005641F" w:rsidRDefault="003A12D4" w:rsidP="003A12D4">
      <w:pPr>
        <w:pStyle w:val="Paragrafi"/>
      </w:pPr>
      <w:r w:rsidRPr="0005641F">
        <w:t>Ky vendim hyn në fuqi pas botimit në Fletoren Zyrtare.</w:t>
      </w:r>
    </w:p>
    <w:p w:rsidR="003A12D4" w:rsidRPr="0005641F" w:rsidRDefault="003A12D4" w:rsidP="003A12D4">
      <w:pPr>
        <w:pStyle w:val="Paragrafi"/>
      </w:pPr>
    </w:p>
    <w:p w:rsidR="003A12D4" w:rsidRPr="0005641F" w:rsidRDefault="003A12D4" w:rsidP="003A12D4">
      <w:pPr>
        <w:pStyle w:val="Autoriteti"/>
      </w:pPr>
      <w:r w:rsidRPr="0005641F">
        <w:t>Kryeministri</w:t>
      </w:r>
    </w:p>
    <w:p w:rsidR="003A12D4" w:rsidRPr="0005641F" w:rsidRDefault="003A12D4" w:rsidP="003A12D4">
      <w:pPr>
        <w:pStyle w:val="AutoritetiEmer"/>
      </w:pPr>
      <w:r w:rsidRPr="0005641F">
        <w:t>Sali Berisha</w:t>
      </w:r>
    </w:p>
    <w:p w:rsidR="003A12D4" w:rsidRPr="0005641F" w:rsidRDefault="003A12D4" w:rsidP="003A12D4">
      <w:pPr>
        <w:pStyle w:val="Paragrafi"/>
      </w:pPr>
    </w:p>
    <w:p w:rsidR="003A12D4" w:rsidRPr="0005641F"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3A12D4" w:rsidP="003A12D4">
      <w:pPr>
        <w:pStyle w:val="Paragrafi"/>
      </w:pPr>
    </w:p>
    <w:p w:rsidR="003A12D4" w:rsidRDefault="001756AE" w:rsidP="003A12D4">
      <w:pPr>
        <w:pStyle w:val="Figure"/>
      </w:pPr>
      <w:r w:rsidRPr="003A12D4">
        <w:rPr>
          <w:noProof/>
          <w:lang w:val="en-GB" w:eastAsia="en-GB"/>
        </w:rPr>
        <w:lastRenderedPageBreak/>
        <w:drawing>
          <wp:inline distT="0" distB="0" distL="0" distR="0">
            <wp:extent cx="5752465" cy="8348980"/>
            <wp:effectExtent l="0" t="0" r="635" b="0"/>
            <wp:docPr id="3" name="Picture 3" descr="ta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 1"/>
                    <pic:cNvPicPr>
                      <a:picLocks noChangeAspect="1" noChangeArrowheads="1"/>
                    </pic:cNvPicPr>
                  </pic:nvPicPr>
                  <pic:blipFill>
                    <a:blip r:embed="rId5" cstate="print">
                      <a:extLst>
                        <a:ext uri="{28A0092B-C50C-407E-A947-70E740481C1C}">
                          <a14:useLocalDpi xmlns:a14="http://schemas.microsoft.com/office/drawing/2010/main" val="0"/>
                        </a:ext>
                      </a:extLst>
                    </a:blip>
                    <a:srcRect t="1350"/>
                    <a:stretch>
                      <a:fillRect/>
                    </a:stretch>
                  </pic:blipFill>
                  <pic:spPr bwMode="auto">
                    <a:xfrm>
                      <a:off x="0" y="0"/>
                      <a:ext cx="5752465" cy="8348980"/>
                    </a:xfrm>
                    <a:prstGeom prst="rect">
                      <a:avLst/>
                    </a:prstGeom>
                    <a:noFill/>
                    <a:ln>
                      <a:noFill/>
                    </a:ln>
                  </pic:spPr>
                </pic:pic>
              </a:graphicData>
            </a:graphic>
          </wp:inline>
        </w:drawing>
      </w:r>
    </w:p>
    <w:p w:rsidR="003A12D4" w:rsidRDefault="001756AE" w:rsidP="003A12D4">
      <w:pPr>
        <w:pStyle w:val="Figure"/>
      </w:pPr>
      <w:r w:rsidRPr="003A12D4">
        <w:rPr>
          <w:noProof/>
          <w:lang w:val="en-GB" w:eastAsia="en-GB"/>
        </w:rPr>
        <w:lastRenderedPageBreak/>
        <w:drawing>
          <wp:inline distT="0" distB="0" distL="0" distR="0">
            <wp:extent cx="5762625" cy="8229600"/>
            <wp:effectExtent l="0" t="0" r="9525"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6">
                      <a:extLst>
                        <a:ext uri="{28A0092B-C50C-407E-A947-70E740481C1C}">
                          <a14:useLocalDpi xmlns:a14="http://schemas.microsoft.com/office/drawing/2010/main" val="0"/>
                        </a:ext>
                      </a:extLst>
                    </a:blip>
                    <a:srcRect t="1419" b="1013"/>
                    <a:stretch>
                      <a:fillRect/>
                    </a:stretch>
                  </pic:blipFill>
                  <pic:spPr bwMode="auto">
                    <a:xfrm>
                      <a:off x="0" y="0"/>
                      <a:ext cx="5762625" cy="8229600"/>
                    </a:xfrm>
                    <a:prstGeom prst="rect">
                      <a:avLst/>
                    </a:prstGeom>
                    <a:noFill/>
                    <a:ln>
                      <a:noFill/>
                    </a:ln>
                  </pic:spPr>
                </pic:pic>
              </a:graphicData>
            </a:graphic>
          </wp:inline>
        </w:drawing>
      </w:r>
    </w:p>
    <w:p w:rsidR="003A12D4" w:rsidRDefault="001756AE" w:rsidP="003A12D4">
      <w:pPr>
        <w:pStyle w:val="Paragrafi"/>
      </w:pPr>
      <w:r>
        <w:rPr>
          <w:noProof/>
          <w:lang w:val="en-GB" w:eastAsia="en-GB"/>
        </w:rPr>
        <w:drawing>
          <wp:inline distT="0" distB="0" distL="0" distR="0">
            <wp:extent cx="2057400" cy="8750300"/>
            <wp:effectExtent l="0" t="0" r="0" b="0"/>
            <wp:docPr id="1"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a:extLst>
                        <a:ext uri="{28A0092B-C50C-407E-A947-70E740481C1C}">
                          <a14:useLocalDpi xmlns:a14="http://schemas.microsoft.com/office/drawing/2010/main" val="0"/>
                        </a:ext>
                      </a:extLst>
                    </a:blip>
                    <a:srcRect r="5263"/>
                    <a:stretch>
                      <a:fillRect/>
                    </a:stretch>
                  </pic:blipFill>
                  <pic:spPr bwMode="auto">
                    <a:xfrm>
                      <a:off x="0" y="0"/>
                      <a:ext cx="2057400" cy="8750300"/>
                    </a:xfrm>
                    <a:prstGeom prst="rect">
                      <a:avLst/>
                    </a:prstGeom>
                    <a:noFill/>
                    <a:ln>
                      <a:noFill/>
                    </a:ln>
                  </pic:spPr>
                </pic:pic>
              </a:graphicData>
            </a:graphic>
          </wp:inline>
        </w:drawing>
      </w:r>
    </w:p>
    <w:p w:rsidR="003A12D4" w:rsidRDefault="003A12D4" w:rsidP="003A12D4">
      <w:pPr>
        <w:pStyle w:val="Paragrafi"/>
      </w:pPr>
      <w:r>
        <w:t>Njësia e qeverisjes vendore: komuna Topojë</w:t>
      </w:r>
      <w:r>
        <w:tab/>
      </w:r>
      <w:r>
        <w:tab/>
      </w:r>
      <w:r>
        <w:tab/>
      </w:r>
      <w:r>
        <w:tab/>
        <w:t>Lidhja nr.1</w:t>
      </w:r>
    </w:p>
    <w:p w:rsidR="003A12D4" w:rsidRDefault="003A12D4" w:rsidP="003A12D4">
      <w:pPr>
        <w:pStyle w:val="Paragrafi"/>
      </w:pPr>
    </w:p>
    <w:tbl>
      <w:tblPr>
        <w:tblStyle w:val="TableGrid"/>
        <w:tblW w:w="0" w:type="auto"/>
        <w:tblLook w:val="01E0" w:firstRow="1" w:lastRow="1" w:firstColumn="1" w:lastColumn="1" w:noHBand="0" w:noVBand="0"/>
      </w:tblPr>
      <w:tblGrid>
        <w:gridCol w:w="2943"/>
        <w:gridCol w:w="2952"/>
        <w:gridCol w:w="2961"/>
      </w:tblGrid>
      <w:tr w:rsidR="003A12D4">
        <w:tc>
          <w:tcPr>
            <w:tcW w:w="3095" w:type="dxa"/>
            <w:vAlign w:val="center"/>
          </w:tcPr>
          <w:p w:rsidR="003A12D4" w:rsidRPr="003A12D4" w:rsidRDefault="003A12D4" w:rsidP="003A12D4">
            <w:pPr>
              <w:pStyle w:val="Tabele"/>
              <w:jc w:val="center"/>
              <w:rPr>
                <w:b/>
              </w:rPr>
            </w:pPr>
            <w:r w:rsidRPr="003A12D4">
              <w:rPr>
                <w:b/>
              </w:rPr>
              <w:t>Numrat rendorë të pronave në listën e inventarit</w:t>
            </w:r>
          </w:p>
        </w:tc>
        <w:tc>
          <w:tcPr>
            <w:tcW w:w="3096" w:type="dxa"/>
            <w:vAlign w:val="center"/>
          </w:tcPr>
          <w:p w:rsidR="003A12D4" w:rsidRPr="003A12D4" w:rsidRDefault="003A12D4" w:rsidP="003A12D4">
            <w:pPr>
              <w:pStyle w:val="Tabele"/>
              <w:jc w:val="center"/>
              <w:rPr>
                <w:b/>
                <w:lang w:val="de-DE"/>
              </w:rPr>
            </w:pPr>
            <w:r w:rsidRPr="003A12D4">
              <w:rPr>
                <w:b/>
                <w:lang w:val="de-DE"/>
              </w:rPr>
              <w:t>Fusha e përdorimit të pronës</w:t>
            </w:r>
          </w:p>
        </w:tc>
        <w:tc>
          <w:tcPr>
            <w:tcW w:w="3096" w:type="dxa"/>
            <w:vAlign w:val="center"/>
          </w:tcPr>
          <w:p w:rsidR="003A12D4" w:rsidRPr="003A12D4" w:rsidRDefault="003A12D4" w:rsidP="003A12D4">
            <w:pPr>
              <w:pStyle w:val="Tabele"/>
              <w:jc w:val="center"/>
              <w:rPr>
                <w:b/>
              </w:rPr>
            </w:pPr>
            <w:r w:rsidRPr="003A12D4">
              <w:rPr>
                <w:b/>
              </w:rPr>
              <w:t>Lloji i transferimit</w:t>
            </w:r>
          </w:p>
        </w:tc>
      </w:tr>
      <w:tr w:rsidR="003A12D4">
        <w:tc>
          <w:tcPr>
            <w:tcW w:w="3095" w:type="dxa"/>
          </w:tcPr>
          <w:p w:rsidR="003A12D4" w:rsidRDefault="003A12D4" w:rsidP="003A12D4">
            <w:pPr>
              <w:pStyle w:val="Tabele"/>
            </w:pPr>
            <w:r>
              <w:t>176-251</w:t>
            </w:r>
          </w:p>
        </w:tc>
        <w:tc>
          <w:tcPr>
            <w:tcW w:w="3096" w:type="dxa"/>
          </w:tcPr>
          <w:p w:rsidR="003A12D4" w:rsidRDefault="003A12D4" w:rsidP="003A12D4">
            <w:pPr>
              <w:pStyle w:val="Tabele"/>
            </w:pPr>
            <w:r>
              <w:t>Pyll</w:t>
            </w:r>
          </w:p>
        </w:tc>
        <w:tc>
          <w:tcPr>
            <w:tcW w:w="3096" w:type="dxa"/>
          </w:tcPr>
          <w:p w:rsidR="003A12D4" w:rsidRDefault="003A12D4" w:rsidP="003A12D4">
            <w:pPr>
              <w:pStyle w:val="Tabele"/>
            </w:pPr>
            <w:r>
              <w:t>Në pronësi</w:t>
            </w:r>
          </w:p>
        </w:tc>
      </w:tr>
      <w:tr w:rsidR="003A12D4">
        <w:tc>
          <w:tcPr>
            <w:tcW w:w="3095" w:type="dxa"/>
          </w:tcPr>
          <w:p w:rsidR="003A12D4" w:rsidRDefault="003A12D4" w:rsidP="003A12D4">
            <w:pPr>
              <w:pStyle w:val="Tabele"/>
            </w:pPr>
          </w:p>
        </w:tc>
        <w:tc>
          <w:tcPr>
            <w:tcW w:w="3096" w:type="dxa"/>
          </w:tcPr>
          <w:p w:rsidR="003A12D4" w:rsidRDefault="003A12D4" w:rsidP="003A12D4">
            <w:pPr>
              <w:pStyle w:val="Tabele"/>
            </w:pPr>
          </w:p>
        </w:tc>
        <w:tc>
          <w:tcPr>
            <w:tcW w:w="3096" w:type="dxa"/>
          </w:tcPr>
          <w:p w:rsidR="003A12D4" w:rsidRDefault="003A12D4" w:rsidP="003A12D4">
            <w:pPr>
              <w:pStyle w:val="Tabele"/>
            </w:pPr>
          </w:p>
        </w:tc>
      </w:tr>
    </w:tbl>
    <w:p w:rsidR="003A12D4" w:rsidRDefault="003A12D4" w:rsidP="003A12D4">
      <w:pPr>
        <w:pStyle w:val="Paragrafi"/>
      </w:pPr>
    </w:p>
    <w:sectPr w:rsidR="003A12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12D4"/>
    <w:rsid w:val="00093BA7"/>
    <w:rsid w:val="00155FB1"/>
    <w:rsid w:val="001756AE"/>
    <w:rsid w:val="003A12D4"/>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8F817F-2A09-43D0-8A1A-4AC63A00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2D4"/>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3A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3A12D4"/>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3A12D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2019-03-16T19:26:00Z</dcterms:created>
  <dcterms:modified xsi:type="dcterms:W3CDTF">2019-03-16T19:26:00Z</dcterms:modified>
</cp:coreProperties>
</file>